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A7E" w:rsidRPr="001428ED" w:rsidRDefault="00994A7E" w:rsidP="001428ED">
      <w:pPr>
        <w:pStyle w:val="Title"/>
        <w:rPr>
          <w:u w:color="000000"/>
        </w:rPr>
      </w:pPr>
      <w:r w:rsidRPr="00472503">
        <w:rPr>
          <w:u w:color="000000"/>
        </w:rPr>
        <w:t xml:space="preserve">SIEF Agreement </w:t>
      </w:r>
      <w:r w:rsidRPr="005840E6">
        <w:rPr>
          <w:u w:color="000000"/>
        </w:rPr>
        <w:t xml:space="preserve">for </w:t>
      </w:r>
      <w:r w:rsidR="001428ED">
        <w:rPr>
          <w:u w:color="000000"/>
        </w:rPr>
        <w:t xml:space="preserve">the </w:t>
      </w:r>
      <w:r w:rsidRPr="005840E6">
        <w:rPr>
          <w:u w:color="000000"/>
        </w:rPr>
        <w:t>Substance</w:t>
      </w:r>
      <w:r w:rsidRPr="005840E6">
        <w:rPr>
          <w:spacing w:val="-8"/>
          <w:u w:color="000000"/>
        </w:rPr>
        <w:t xml:space="preserve"> </w:t>
      </w:r>
      <w:r>
        <w:rPr>
          <w:u w:color="000000"/>
        </w:rPr>
        <w:t>Formaldehyde,</w:t>
      </w:r>
      <w:r w:rsidRPr="00475D94">
        <w:t xml:space="preserve"> </w:t>
      </w:r>
      <w:r w:rsidRPr="00475D94">
        <w:rPr>
          <w:u w:color="000000"/>
        </w:rPr>
        <w:t xml:space="preserve">CAS </w:t>
      </w:r>
      <w:r>
        <w:rPr>
          <w:u w:color="000000"/>
        </w:rPr>
        <w:t>50-00-0</w:t>
      </w:r>
      <w:r w:rsidRPr="00475D94">
        <w:rPr>
          <w:u w:color="000000"/>
        </w:rPr>
        <w:t>, EINECS 200-</w:t>
      </w:r>
      <w:r>
        <w:rPr>
          <w:u w:color="000000"/>
        </w:rPr>
        <w:t>001</w:t>
      </w:r>
      <w:r w:rsidRPr="00475D94">
        <w:rPr>
          <w:u w:color="000000"/>
        </w:rPr>
        <w:t>-</w:t>
      </w:r>
      <w:r>
        <w:rPr>
          <w:u w:color="000000"/>
        </w:rPr>
        <w:t>8</w:t>
      </w:r>
    </w:p>
    <w:p w:rsidR="00994A7E" w:rsidRPr="00CF73CE" w:rsidRDefault="00994A7E" w:rsidP="001428ED">
      <w:r w:rsidRPr="00CF73CE">
        <w:t>This SIEF Agreement (hereinafter the “</w:t>
      </w:r>
      <w:r w:rsidRPr="001428ED">
        <w:rPr>
          <w:b/>
        </w:rPr>
        <w:t>Agreement</w:t>
      </w:r>
      <w:r w:rsidRPr="00CF73CE">
        <w:t>”) is entered into by and between:</w:t>
      </w:r>
    </w:p>
    <w:p w:rsidR="00994A7E" w:rsidRDefault="00994A7E" w:rsidP="001428ED">
      <w:pPr>
        <w:pStyle w:val="ListParagraph"/>
        <w:numPr>
          <w:ilvl w:val="0"/>
          <w:numId w:val="5"/>
        </w:numPr>
      </w:pPr>
      <w:r w:rsidRPr="00C5739D">
        <w:t>BASF</w:t>
      </w:r>
      <w:r w:rsidRPr="00A833E6">
        <w:t xml:space="preserve"> </w:t>
      </w:r>
      <w:r>
        <w:t>SE (Carl-Bosch-Strasse 38; D-67056, Ludwigshafen/Rhein; Germany)</w:t>
      </w:r>
      <w:r w:rsidRPr="005840E6">
        <w:t xml:space="preserve">, </w:t>
      </w:r>
      <w:r w:rsidRPr="005840E6">
        <w:rPr>
          <w:b/>
        </w:rPr>
        <w:t>Lead Registrant</w:t>
      </w:r>
      <w:r w:rsidRPr="005840E6">
        <w:t xml:space="preserve"> for the Substance </w:t>
      </w:r>
      <w:r>
        <w:rPr>
          <w:color w:val="000000"/>
        </w:rPr>
        <w:t>Formaldehyde</w:t>
      </w:r>
      <w:r w:rsidR="00F85E65">
        <w:rPr>
          <w:color w:val="000000"/>
        </w:rPr>
        <w:t>,</w:t>
      </w:r>
      <w:r w:rsidR="00D84361" w:rsidRPr="00F85E65">
        <w:t xml:space="preserve"> </w:t>
      </w:r>
      <w:r w:rsidR="00D84361" w:rsidRPr="00F85E65">
        <w:rPr>
          <w:i/>
        </w:rPr>
        <w:t xml:space="preserve">acting on behalf of the Members of the </w:t>
      </w:r>
      <w:r w:rsidR="00F85E65" w:rsidRPr="00F85E65">
        <w:rPr>
          <w:i/>
        </w:rPr>
        <w:t>Formaldehyde</w:t>
      </w:r>
      <w:r w:rsidR="00D84361" w:rsidRPr="00F85E65">
        <w:rPr>
          <w:i/>
        </w:rPr>
        <w:t xml:space="preserve"> Consortium</w:t>
      </w:r>
      <w:r w:rsidRPr="00F85E65">
        <w:t xml:space="preserve">, </w:t>
      </w:r>
      <w:r w:rsidRPr="00CB2F15">
        <w:t xml:space="preserve">CAS </w:t>
      </w:r>
      <w:r>
        <w:t>50-00-0</w:t>
      </w:r>
      <w:r w:rsidRPr="00CB2F15">
        <w:t>, EINECS 200-</w:t>
      </w:r>
      <w:r>
        <w:t>001-8</w:t>
      </w:r>
      <w:r w:rsidRPr="00CB2F15">
        <w:t xml:space="preserve"> </w:t>
      </w:r>
    </w:p>
    <w:p w:rsidR="00994A7E" w:rsidRPr="005840E6" w:rsidRDefault="001428ED" w:rsidP="001428ED">
      <w:pPr>
        <w:ind w:left="360"/>
      </w:pPr>
      <w:r>
        <w:t>and</w:t>
      </w:r>
    </w:p>
    <w:p w:rsidR="00994A7E" w:rsidRPr="005840E6" w:rsidRDefault="00994A7E" w:rsidP="00994A7E">
      <w:pPr>
        <w:pStyle w:val="ListParagraph"/>
        <w:numPr>
          <w:ilvl w:val="0"/>
          <w:numId w:val="5"/>
        </w:numPr>
      </w:pPr>
      <w:r w:rsidRPr="00472503">
        <w:t>the SIEF Participant signatory of the present Agreement (hereinafter referred to as "</w:t>
      </w:r>
      <w:r w:rsidRPr="00472503">
        <w:rPr>
          <w:b/>
        </w:rPr>
        <w:t>Non-Lead Member</w:t>
      </w:r>
      <w:r w:rsidRPr="00472503">
        <w:t>")</w:t>
      </w:r>
    </w:p>
    <w:p w:rsidR="00994A7E" w:rsidRPr="00CF73CE" w:rsidRDefault="00994A7E" w:rsidP="00994A7E">
      <w:pPr>
        <w:tabs>
          <w:tab w:val="left" w:pos="851"/>
        </w:tabs>
      </w:pPr>
      <w:r w:rsidRPr="00CF73CE">
        <w:t xml:space="preserve">Hereinafter </w:t>
      </w:r>
      <w:r w:rsidR="001428ED" w:rsidRPr="001428ED">
        <w:t xml:space="preserve">individually </w:t>
      </w:r>
      <w:r w:rsidR="001428ED">
        <w:t>referred to</w:t>
      </w:r>
      <w:r w:rsidR="001428ED" w:rsidRPr="001428ED">
        <w:t xml:space="preserve"> as a “Party” or </w:t>
      </w:r>
      <w:r w:rsidRPr="005840E6">
        <w:rPr>
          <w:lang w:eastAsia="fr-FR"/>
        </w:rPr>
        <w:t xml:space="preserve">collectively </w:t>
      </w:r>
      <w:r w:rsidRPr="00CF73CE">
        <w:t xml:space="preserve">as the </w:t>
      </w:r>
      <w:r w:rsidR="001428ED">
        <w:t>“</w:t>
      </w:r>
      <w:r w:rsidRPr="00CF73CE">
        <w:t>Parties</w:t>
      </w:r>
      <w:r w:rsidRPr="005840E6">
        <w:rPr>
          <w:lang w:eastAsia="fr-FR"/>
        </w:rPr>
        <w:t>”</w:t>
      </w:r>
      <w:r>
        <w:rPr>
          <w:lang w:eastAsia="fr-FR"/>
        </w:rPr>
        <w:t xml:space="preserve">. </w:t>
      </w:r>
    </w:p>
    <w:p w:rsidR="0085006E" w:rsidRDefault="0085006E" w:rsidP="00E262B1">
      <w:pPr>
        <w:pStyle w:val="Title"/>
        <w:spacing w:after="0"/>
      </w:pPr>
      <w:bookmarkStart w:id="0" w:name="Preamble"/>
      <w:bookmarkEnd w:id="0"/>
    </w:p>
    <w:p w:rsidR="00994A7E" w:rsidRDefault="00994A7E" w:rsidP="00E262B1">
      <w:pPr>
        <w:pStyle w:val="Title"/>
        <w:spacing w:after="0"/>
      </w:pPr>
      <w:r w:rsidRPr="00472503">
        <w:t>Preamble</w:t>
      </w:r>
    </w:p>
    <w:p w:rsidR="0085006E" w:rsidRPr="0085006E" w:rsidRDefault="0085006E" w:rsidP="0085006E">
      <w:pPr>
        <w:spacing w:after="0"/>
      </w:pPr>
    </w:p>
    <w:p w:rsidR="00E262B1" w:rsidRPr="00E262B1" w:rsidRDefault="00E262B1" w:rsidP="00E262B1">
      <w:pPr>
        <w:spacing w:after="0"/>
      </w:pPr>
    </w:p>
    <w:p w:rsidR="00994A7E" w:rsidRPr="00472503" w:rsidRDefault="00994A7E" w:rsidP="001428ED">
      <w:pPr>
        <w:pStyle w:val="BodyText"/>
        <w:ind w:right="4"/>
        <w:rPr>
          <w:spacing w:val="-1"/>
        </w:rPr>
      </w:pPr>
      <w:r w:rsidRPr="00CF73CE">
        <w:t>Whereas</w:t>
      </w:r>
      <w:r w:rsidRPr="00472503">
        <w:rPr>
          <w:spacing w:val="-5"/>
        </w:rPr>
        <w:t xml:space="preserve"> </w:t>
      </w:r>
      <w:r w:rsidRPr="00CF73CE">
        <w:t>the</w:t>
      </w:r>
      <w:r w:rsidRPr="00472503">
        <w:rPr>
          <w:spacing w:val="-5"/>
        </w:rPr>
        <w:t xml:space="preserve"> </w:t>
      </w:r>
      <w:r w:rsidR="001428ED" w:rsidRPr="001428ED">
        <w:t>Regulation (EC) No 1907/2006 of the European Parliament and of the Council on the Registration, Evaluation, Authorisation and Restriction of Chemicals (“</w:t>
      </w:r>
      <w:r w:rsidR="001428ED" w:rsidRPr="001428ED">
        <w:rPr>
          <w:b/>
        </w:rPr>
        <w:t>REACH</w:t>
      </w:r>
      <w:r w:rsidR="001428ED" w:rsidRPr="001428ED">
        <w:t>”)</w:t>
      </w:r>
      <w:r w:rsidRPr="00CF73CE">
        <w:t>imposes</w:t>
      </w:r>
      <w:r w:rsidRPr="00472503">
        <w:rPr>
          <w:spacing w:val="-5"/>
        </w:rPr>
        <w:t xml:space="preserve"> </w:t>
      </w:r>
      <w:r w:rsidRPr="00CF73CE">
        <w:t>on</w:t>
      </w:r>
      <w:r w:rsidRPr="00472503">
        <w:rPr>
          <w:spacing w:val="-5"/>
        </w:rPr>
        <w:t xml:space="preserve"> </w:t>
      </w:r>
      <w:r w:rsidRPr="00CF73CE">
        <w:t>manufacturers</w:t>
      </w:r>
      <w:r w:rsidRPr="00472503">
        <w:rPr>
          <w:spacing w:val="-4"/>
        </w:rPr>
        <w:t xml:space="preserve"> </w:t>
      </w:r>
      <w:r w:rsidRPr="00CF73CE">
        <w:t>and</w:t>
      </w:r>
      <w:r w:rsidRPr="00472503">
        <w:rPr>
          <w:spacing w:val="-5"/>
        </w:rPr>
        <w:t xml:space="preserve"> </w:t>
      </w:r>
      <w:r w:rsidRPr="00CF73CE">
        <w:t>importers</w:t>
      </w:r>
      <w:r w:rsidRPr="00472503">
        <w:rPr>
          <w:spacing w:val="-4"/>
        </w:rPr>
        <w:t xml:space="preserve"> </w:t>
      </w:r>
      <w:r w:rsidRPr="00CF73CE">
        <w:t>as</w:t>
      </w:r>
      <w:r w:rsidRPr="00472503">
        <w:rPr>
          <w:spacing w:val="-5"/>
        </w:rPr>
        <w:t xml:space="preserve"> </w:t>
      </w:r>
      <w:r w:rsidRPr="00CF73CE">
        <w:t>well</w:t>
      </w:r>
      <w:r w:rsidRPr="00472503">
        <w:rPr>
          <w:spacing w:val="-5"/>
        </w:rPr>
        <w:t xml:space="preserve"> </w:t>
      </w:r>
      <w:r w:rsidRPr="00CF73CE">
        <w:t>as</w:t>
      </w:r>
      <w:r w:rsidRPr="00472503">
        <w:rPr>
          <w:spacing w:val="-5"/>
        </w:rPr>
        <w:t xml:space="preserve"> </w:t>
      </w:r>
      <w:r w:rsidRPr="00CF73CE">
        <w:t>on</w:t>
      </w:r>
      <w:r w:rsidRPr="00472503">
        <w:rPr>
          <w:spacing w:val="-5"/>
        </w:rPr>
        <w:t xml:space="preserve"> </w:t>
      </w:r>
      <w:r w:rsidRPr="00CF73CE">
        <w:t>only</w:t>
      </w:r>
      <w:r w:rsidRPr="00472503">
        <w:rPr>
          <w:spacing w:val="22"/>
          <w:w w:val="99"/>
        </w:rPr>
        <w:t xml:space="preserve"> </w:t>
      </w:r>
      <w:r w:rsidRPr="00CF73CE">
        <w:t>representatives</w:t>
      </w:r>
      <w:r w:rsidRPr="00472503">
        <w:rPr>
          <w:spacing w:val="-9"/>
        </w:rPr>
        <w:t xml:space="preserve"> </w:t>
      </w:r>
      <w:r w:rsidRPr="00CF73CE">
        <w:t>the</w:t>
      </w:r>
      <w:r w:rsidRPr="00472503">
        <w:rPr>
          <w:spacing w:val="-8"/>
        </w:rPr>
        <w:t xml:space="preserve"> </w:t>
      </w:r>
      <w:r w:rsidRPr="00CF73CE">
        <w:t>obligation</w:t>
      </w:r>
      <w:r w:rsidRPr="00472503">
        <w:rPr>
          <w:spacing w:val="-8"/>
        </w:rPr>
        <w:t xml:space="preserve"> </w:t>
      </w:r>
      <w:r w:rsidRPr="00CF73CE">
        <w:t>to</w:t>
      </w:r>
      <w:r w:rsidRPr="00472503">
        <w:rPr>
          <w:spacing w:val="-8"/>
        </w:rPr>
        <w:t xml:space="preserve"> </w:t>
      </w:r>
      <w:r w:rsidRPr="00472503">
        <w:rPr>
          <w:spacing w:val="-1"/>
        </w:rPr>
        <w:t>register</w:t>
      </w:r>
      <w:r w:rsidRPr="00472503">
        <w:rPr>
          <w:spacing w:val="-8"/>
        </w:rPr>
        <w:t xml:space="preserve"> </w:t>
      </w:r>
      <w:r w:rsidRPr="00CF73CE">
        <w:t>the</w:t>
      </w:r>
      <w:r w:rsidRPr="00472503">
        <w:rPr>
          <w:spacing w:val="-8"/>
        </w:rPr>
        <w:t xml:space="preserve"> </w:t>
      </w:r>
      <w:r w:rsidR="001428ED" w:rsidRPr="001428ED">
        <w:t xml:space="preserve">substance Formaldehyde, CAS 50-00-0, EINECS 200-001-8 </w:t>
      </w:r>
      <w:r w:rsidR="001428ED" w:rsidRPr="00CB2F15">
        <w:t xml:space="preserve">(hereinafter referred to as </w:t>
      </w:r>
      <w:r w:rsidR="001428ED" w:rsidRPr="001428ED">
        <w:t xml:space="preserve">the </w:t>
      </w:r>
      <w:r w:rsidR="001428ED">
        <w:rPr>
          <w:b/>
        </w:rPr>
        <w:t>“</w:t>
      </w:r>
      <w:r w:rsidR="001428ED" w:rsidRPr="00CB2F15">
        <w:rPr>
          <w:b/>
        </w:rPr>
        <w:t>Substance</w:t>
      </w:r>
      <w:r w:rsidR="001428ED">
        <w:t>”</w:t>
      </w:r>
      <w:r w:rsidR="001428ED" w:rsidRPr="00CB2F15">
        <w:t>)</w:t>
      </w:r>
      <w:r w:rsidR="001428ED" w:rsidRPr="00CB2F15">
        <w:rPr>
          <w:spacing w:val="15"/>
        </w:rPr>
        <w:t xml:space="preserve"> </w:t>
      </w:r>
      <w:r w:rsidRPr="00472503">
        <w:rPr>
          <w:spacing w:val="-1"/>
        </w:rPr>
        <w:t>within</w:t>
      </w:r>
      <w:r w:rsidRPr="00472503">
        <w:rPr>
          <w:spacing w:val="-8"/>
        </w:rPr>
        <w:t xml:space="preserve"> </w:t>
      </w:r>
      <w:r w:rsidRPr="00CF73CE">
        <w:t>the</w:t>
      </w:r>
      <w:r w:rsidRPr="00472503">
        <w:rPr>
          <w:spacing w:val="-8"/>
        </w:rPr>
        <w:t xml:space="preserve"> </w:t>
      </w:r>
      <w:r w:rsidRPr="00472503">
        <w:rPr>
          <w:spacing w:val="-1"/>
        </w:rPr>
        <w:t>prescribed</w:t>
      </w:r>
      <w:r w:rsidRPr="00472503">
        <w:rPr>
          <w:spacing w:val="-8"/>
        </w:rPr>
        <w:t xml:space="preserve"> </w:t>
      </w:r>
      <w:r w:rsidRPr="00472503">
        <w:rPr>
          <w:spacing w:val="-1"/>
        </w:rPr>
        <w:t xml:space="preserve">deadlines; </w:t>
      </w:r>
    </w:p>
    <w:p w:rsidR="00994A7E" w:rsidRPr="00CF73CE" w:rsidRDefault="00994A7E" w:rsidP="001428ED">
      <w:pPr>
        <w:pStyle w:val="BodyText"/>
        <w:ind w:right="4"/>
      </w:pPr>
      <w:r w:rsidRPr="00CF73CE">
        <w:t xml:space="preserve">Whereas the Parties </w:t>
      </w:r>
      <w:r w:rsidRPr="00CB2F15">
        <w:t>and/or</w:t>
      </w:r>
      <w:r w:rsidRPr="00CB2F15">
        <w:rPr>
          <w:spacing w:val="1"/>
        </w:rPr>
        <w:t xml:space="preserve"> </w:t>
      </w:r>
      <w:r w:rsidRPr="00CB2F15">
        <w:t>their Affiliates A)</w:t>
      </w:r>
      <w:r w:rsidRPr="00CF73CE">
        <w:t xml:space="preserve"> have </w:t>
      </w:r>
      <w:r w:rsidRPr="00472503">
        <w:rPr>
          <w:spacing w:val="-1"/>
        </w:rPr>
        <w:t>registered</w:t>
      </w:r>
      <w:r w:rsidRPr="00CF73CE">
        <w:t xml:space="preserve"> </w:t>
      </w:r>
      <w:r w:rsidRPr="00CB2F15">
        <w:t>the Substance</w:t>
      </w:r>
      <w:r w:rsidRPr="00CB2F15">
        <w:rPr>
          <w:i/>
          <w:spacing w:val="47"/>
          <w:w w:val="99"/>
        </w:rPr>
        <w:t xml:space="preserve"> </w:t>
      </w:r>
      <w:r w:rsidRPr="00CB2F15">
        <w:rPr>
          <w:spacing w:val="15"/>
        </w:rPr>
        <w:t xml:space="preserve">and/or B) </w:t>
      </w:r>
      <w:r w:rsidRPr="001428ED">
        <w:t xml:space="preserve">submitted an inquiry and </w:t>
      </w:r>
      <w:r w:rsidRPr="00CF73CE">
        <w:t>have agreed</w:t>
      </w:r>
      <w:r w:rsidRPr="001428ED">
        <w:t xml:space="preserve"> </w:t>
      </w:r>
      <w:r w:rsidRPr="00CF73CE">
        <w:t>on</w:t>
      </w:r>
      <w:r w:rsidRPr="001428ED">
        <w:t xml:space="preserve"> </w:t>
      </w:r>
      <w:r w:rsidRPr="00CF73CE">
        <w:t>the</w:t>
      </w:r>
      <w:r w:rsidRPr="001428ED">
        <w:t xml:space="preserve"> </w:t>
      </w:r>
      <w:r w:rsidRPr="00CF73CE">
        <w:t>identity</w:t>
      </w:r>
      <w:r w:rsidRPr="001428ED">
        <w:t xml:space="preserve"> </w:t>
      </w:r>
      <w:r w:rsidRPr="00CF73CE">
        <w:t>and</w:t>
      </w:r>
      <w:r w:rsidRPr="001428ED">
        <w:t xml:space="preserve"> </w:t>
      </w:r>
      <w:r w:rsidRPr="00CF73CE">
        <w:t>the</w:t>
      </w:r>
      <w:r w:rsidRPr="001428ED">
        <w:t xml:space="preserve"> </w:t>
      </w:r>
      <w:r w:rsidRPr="00CF73CE">
        <w:t>sameness</w:t>
      </w:r>
      <w:r w:rsidRPr="001428ED">
        <w:t xml:space="preserve"> </w:t>
      </w:r>
      <w:r w:rsidRPr="00CF73CE">
        <w:t>of</w:t>
      </w:r>
      <w:r w:rsidRPr="001428ED">
        <w:t xml:space="preserve"> </w:t>
      </w:r>
      <w:r w:rsidRPr="00CF73CE">
        <w:t>the</w:t>
      </w:r>
      <w:r w:rsidRPr="001428ED">
        <w:t xml:space="preserve"> Substance, </w:t>
      </w:r>
      <w:r w:rsidRPr="00CF73CE">
        <w:t>and</w:t>
      </w:r>
      <w:r w:rsidRPr="001428ED">
        <w:t xml:space="preserve"> thus </w:t>
      </w:r>
      <w:r w:rsidRPr="00CF73CE">
        <w:t>are</w:t>
      </w:r>
      <w:r w:rsidRPr="001428ED">
        <w:t xml:space="preserve"> </w:t>
      </w:r>
      <w:r w:rsidRPr="00CB2F15">
        <w:t>participants</w:t>
      </w:r>
      <w:r w:rsidRPr="001428ED">
        <w:t xml:space="preserve"> </w:t>
      </w:r>
      <w:r w:rsidRPr="00CF73CE">
        <w:t>of</w:t>
      </w:r>
      <w:r w:rsidRPr="001428ED">
        <w:t xml:space="preserve"> the </w:t>
      </w:r>
      <w:r w:rsidRPr="00CF73CE">
        <w:t>same</w:t>
      </w:r>
      <w:r w:rsidRPr="001428ED">
        <w:t xml:space="preserve"> </w:t>
      </w:r>
      <w:r w:rsidRPr="00CF73CE">
        <w:t>Substance</w:t>
      </w:r>
      <w:r w:rsidRPr="001428ED">
        <w:t xml:space="preserve"> Information </w:t>
      </w:r>
      <w:r w:rsidRPr="00CF73CE">
        <w:t>Exchange</w:t>
      </w:r>
      <w:r w:rsidRPr="001428ED">
        <w:t xml:space="preserve"> </w:t>
      </w:r>
      <w:r w:rsidRPr="00CF73CE">
        <w:t>Forum</w:t>
      </w:r>
      <w:r w:rsidRPr="001428ED">
        <w:t xml:space="preserve"> </w:t>
      </w:r>
      <w:r w:rsidRPr="00CF73CE">
        <w:t>(“</w:t>
      </w:r>
      <w:r w:rsidRPr="001428ED">
        <w:rPr>
          <w:b/>
        </w:rPr>
        <w:t>SIEF</w:t>
      </w:r>
      <w:r w:rsidRPr="00CF73CE">
        <w:t>”)</w:t>
      </w:r>
      <w:r w:rsidRPr="001428ED">
        <w:t xml:space="preserve"> </w:t>
      </w:r>
      <w:r w:rsidRPr="00CF73CE">
        <w:t>as</w:t>
      </w:r>
      <w:r w:rsidRPr="001428ED">
        <w:t xml:space="preserve"> registrants </w:t>
      </w:r>
      <w:r w:rsidRPr="00CF73CE">
        <w:t>for</w:t>
      </w:r>
      <w:r w:rsidRPr="001428ED">
        <w:t xml:space="preserve"> </w:t>
      </w:r>
      <w:r w:rsidRPr="00CF73CE">
        <w:t>that</w:t>
      </w:r>
      <w:r w:rsidRPr="001428ED">
        <w:t xml:space="preserve"> </w:t>
      </w:r>
      <w:r w:rsidRPr="00CF73CE">
        <w:t>Substance</w:t>
      </w:r>
      <w:r w:rsidRPr="001428ED">
        <w:t xml:space="preserve"> under </w:t>
      </w:r>
      <w:r w:rsidRPr="00CF73CE">
        <w:t>the</w:t>
      </w:r>
      <w:r w:rsidRPr="001428ED">
        <w:t xml:space="preserve"> </w:t>
      </w:r>
      <w:r w:rsidRPr="00CF73CE">
        <w:t>meaning</w:t>
      </w:r>
      <w:r w:rsidRPr="001428ED">
        <w:t xml:space="preserve"> </w:t>
      </w:r>
      <w:r w:rsidRPr="00CF73CE">
        <w:t>of</w:t>
      </w:r>
      <w:r w:rsidRPr="001428ED">
        <w:t xml:space="preserve"> </w:t>
      </w:r>
      <w:r w:rsidRPr="00CF73CE">
        <w:t>Article</w:t>
      </w:r>
      <w:r w:rsidRPr="001428ED">
        <w:t xml:space="preserve"> </w:t>
      </w:r>
      <w:r w:rsidRPr="00CF73CE">
        <w:t>29</w:t>
      </w:r>
      <w:r w:rsidRPr="001428ED">
        <w:t xml:space="preserve"> </w:t>
      </w:r>
      <w:r w:rsidRPr="00CF73CE">
        <w:t>of</w:t>
      </w:r>
      <w:r w:rsidRPr="001428ED">
        <w:t xml:space="preserve"> </w:t>
      </w:r>
      <w:r w:rsidR="001428ED">
        <w:t>REACH</w:t>
      </w:r>
      <w:r w:rsidRPr="00CF73CE">
        <w:t>;</w:t>
      </w:r>
    </w:p>
    <w:p w:rsidR="00994A7E" w:rsidRPr="00CF73CE" w:rsidRDefault="00994A7E" w:rsidP="001428ED">
      <w:pPr>
        <w:pStyle w:val="BodyText"/>
        <w:ind w:right="4"/>
      </w:pPr>
      <w:r w:rsidRPr="00CF73CE">
        <w:t>Whereas</w:t>
      </w:r>
      <w:r w:rsidRPr="00472503">
        <w:rPr>
          <w:spacing w:val="7"/>
        </w:rPr>
        <w:t xml:space="preserve"> </w:t>
      </w:r>
      <w:r w:rsidRPr="00CF73CE">
        <w:t>REACH</w:t>
      </w:r>
      <w:r w:rsidRPr="00472503">
        <w:rPr>
          <w:spacing w:val="8"/>
        </w:rPr>
        <w:t xml:space="preserve"> </w:t>
      </w:r>
      <w:r w:rsidRPr="00472503">
        <w:rPr>
          <w:spacing w:val="-1"/>
        </w:rPr>
        <w:t>requires,</w:t>
      </w:r>
      <w:r w:rsidRPr="00472503">
        <w:rPr>
          <w:spacing w:val="9"/>
        </w:rPr>
        <w:t xml:space="preserve"> </w:t>
      </w:r>
      <w:r w:rsidRPr="00472503">
        <w:rPr>
          <w:spacing w:val="-1"/>
        </w:rPr>
        <w:t>subject</w:t>
      </w:r>
      <w:r w:rsidRPr="00472503">
        <w:rPr>
          <w:spacing w:val="9"/>
        </w:rPr>
        <w:t xml:space="preserve"> </w:t>
      </w:r>
      <w:r w:rsidRPr="00CF73CE">
        <w:t>to</w:t>
      </w:r>
      <w:r w:rsidRPr="00472503">
        <w:rPr>
          <w:spacing w:val="8"/>
        </w:rPr>
        <w:t xml:space="preserve"> </w:t>
      </w:r>
      <w:r w:rsidRPr="00CF73CE">
        <w:t>certain</w:t>
      </w:r>
      <w:r w:rsidRPr="00472503">
        <w:rPr>
          <w:spacing w:val="8"/>
        </w:rPr>
        <w:t xml:space="preserve"> </w:t>
      </w:r>
      <w:r w:rsidRPr="00CF73CE">
        <w:t>exceptions,</w:t>
      </w:r>
      <w:r w:rsidRPr="00472503">
        <w:rPr>
          <w:spacing w:val="8"/>
        </w:rPr>
        <w:t xml:space="preserve"> </w:t>
      </w:r>
      <w:r w:rsidRPr="00CF73CE">
        <w:t>multiple</w:t>
      </w:r>
      <w:r w:rsidRPr="00472503">
        <w:rPr>
          <w:spacing w:val="8"/>
        </w:rPr>
        <w:t xml:space="preserve"> </w:t>
      </w:r>
      <w:r w:rsidRPr="00472503">
        <w:rPr>
          <w:spacing w:val="-1"/>
        </w:rPr>
        <w:t>registrants</w:t>
      </w:r>
      <w:r w:rsidRPr="00472503">
        <w:rPr>
          <w:spacing w:val="49"/>
          <w:w w:val="99"/>
        </w:rPr>
        <w:t xml:space="preserve"> </w:t>
      </w:r>
      <w:r w:rsidRPr="00CF73CE">
        <w:t>of</w:t>
      </w:r>
      <w:r w:rsidRPr="00472503">
        <w:rPr>
          <w:spacing w:val="24"/>
        </w:rPr>
        <w:t xml:space="preserve"> </w:t>
      </w:r>
      <w:r w:rsidRPr="00CF73CE">
        <w:t>the</w:t>
      </w:r>
      <w:r w:rsidRPr="00472503">
        <w:rPr>
          <w:spacing w:val="25"/>
        </w:rPr>
        <w:t xml:space="preserve"> </w:t>
      </w:r>
      <w:r w:rsidRPr="00CF73CE">
        <w:t>same</w:t>
      </w:r>
      <w:r w:rsidRPr="00472503">
        <w:rPr>
          <w:spacing w:val="24"/>
        </w:rPr>
        <w:t xml:space="preserve"> </w:t>
      </w:r>
      <w:r w:rsidRPr="00CF73CE">
        <w:t>substance</w:t>
      </w:r>
      <w:r w:rsidRPr="00472503">
        <w:rPr>
          <w:spacing w:val="24"/>
        </w:rPr>
        <w:t xml:space="preserve"> </w:t>
      </w:r>
      <w:r w:rsidRPr="00CF73CE">
        <w:t>to</w:t>
      </w:r>
      <w:r w:rsidRPr="00472503">
        <w:rPr>
          <w:spacing w:val="25"/>
        </w:rPr>
        <w:t xml:space="preserve"> </w:t>
      </w:r>
      <w:r w:rsidRPr="00CF73CE">
        <w:t>share</w:t>
      </w:r>
      <w:r w:rsidRPr="00472503">
        <w:rPr>
          <w:spacing w:val="25"/>
        </w:rPr>
        <w:t xml:space="preserve"> </w:t>
      </w:r>
      <w:r w:rsidRPr="00472503">
        <w:rPr>
          <w:spacing w:val="-1"/>
        </w:rPr>
        <w:t>certain</w:t>
      </w:r>
      <w:r w:rsidRPr="00472503">
        <w:rPr>
          <w:spacing w:val="24"/>
        </w:rPr>
        <w:t xml:space="preserve"> </w:t>
      </w:r>
      <w:r w:rsidRPr="00CF73CE">
        <w:t>data</w:t>
      </w:r>
      <w:r w:rsidRPr="00472503">
        <w:rPr>
          <w:spacing w:val="25"/>
        </w:rPr>
        <w:t xml:space="preserve"> </w:t>
      </w:r>
      <w:r w:rsidRPr="00CF73CE">
        <w:t>and</w:t>
      </w:r>
      <w:r w:rsidRPr="00472503">
        <w:rPr>
          <w:spacing w:val="24"/>
        </w:rPr>
        <w:t xml:space="preserve"> </w:t>
      </w:r>
      <w:r w:rsidRPr="00CF73CE">
        <w:t>jointly</w:t>
      </w:r>
      <w:r w:rsidRPr="00472503">
        <w:rPr>
          <w:spacing w:val="25"/>
        </w:rPr>
        <w:t xml:space="preserve"> </w:t>
      </w:r>
      <w:r w:rsidRPr="00CF73CE">
        <w:t>submit</w:t>
      </w:r>
      <w:r w:rsidRPr="00472503">
        <w:rPr>
          <w:spacing w:val="25"/>
        </w:rPr>
        <w:t xml:space="preserve"> </w:t>
      </w:r>
      <w:r w:rsidRPr="00CF73CE">
        <w:t>through</w:t>
      </w:r>
      <w:r w:rsidRPr="00472503">
        <w:rPr>
          <w:spacing w:val="24"/>
        </w:rPr>
        <w:t xml:space="preserve"> </w:t>
      </w:r>
      <w:r w:rsidRPr="00CF73CE">
        <w:t>a</w:t>
      </w:r>
      <w:r w:rsidRPr="00472503">
        <w:rPr>
          <w:spacing w:val="24"/>
        </w:rPr>
        <w:t xml:space="preserve"> </w:t>
      </w:r>
      <w:r w:rsidRPr="00CF73CE">
        <w:t>Lead</w:t>
      </w:r>
      <w:r w:rsidRPr="00472503">
        <w:rPr>
          <w:spacing w:val="25"/>
        </w:rPr>
        <w:t xml:space="preserve"> </w:t>
      </w:r>
      <w:r w:rsidRPr="00CF73CE">
        <w:t>Registrant</w:t>
      </w:r>
      <w:r w:rsidRPr="00472503">
        <w:rPr>
          <w:spacing w:val="25"/>
          <w:w w:val="99"/>
        </w:rPr>
        <w:t xml:space="preserve"> </w:t>
      </w:r>
      <w:r w:rsidRPr="00CF73CE">
        <w:t>part</w:t>
      </w:r>
      <w:r w:rsidRPr="00472503">
        <w:rPr>
          <w:spacing w:val="1"/>
        </w:rPr>
        <w:t xml:space="preserve"> </w:t>
      </w:r>
      <w:r w:rsidRPr="00CF73CE">
        <w:t>of</w:t>
      </w:r>
      <w:r w:rsidRPr="00472503">
        <w:rPr>
          <w:spacing w:val="2"/>
        </w:rPr>
        <w:t xml:space="preserve"> </w:t>
      </w:r>
      <w:r w:rsidRPr="00CF73CE">
        <w:t>the</w:t>
      </w:r>
      <w:r w:rsidRPr="00472503">
        <w:rPr>
          <w:spacing w:val="1"/>
        </w:rPr>
        <w:t xml:space="preserve"> </w:t>
      </w:r>
      <w:r w:rsidRPr="00CF73CE">
        <w:t>information</w:t>
      </w:r>
      <w:r w:rsidRPr="00472503">
        <w:rPr>
          <w:spacing w:val="3"/>
        </w:rPr>
        <w:t xml:space="preserve"> </w:t>
      </w:r>
      <w:r w:rsidRPr="00CF73CE">
        <w:t>required</w:t>
      </w:r>
      <w:r w:rsidRPr="00472503">
        <w:rPr>
          <w:spacing w:val="1"/>
        </w:rPr>
        <w:t xml:space="preserve"> </w:t>
      </w:r>
      <w:r w:rsidRPr="00CF73CE">
        <w:t>for</w:t>
      </w:r>
      <w:r w:rsidRPr="00472503">
        <w:rPr>
          <w:spacing w:val="2"/>
        </w:rPr>
        <w:t xml:space="preserve"> </w:t>
      </w:r>
      <w:r w:rsidRPr="00CF73CE">
        <w:t>the</w:t>
      </w:r>
      <w:r w:rsidRPr="00472503">
        <w:rPr>
          <w:spacing w:val="1"/>
        </w:rPr>
        <w:t xml:space="preserve"> </w:t>
      </w:r>
      <w:r w:rsidRPr="00CF73CE">
        <w:t>registration</w:t>
      </w:r>
      <w:r w:rsidRPr="00472503">
        <w:rPr>
          <w:spacing w:val="2"/>
        </w:rPr>
        <w:t xml:space="preserve"> </w:t>
      </w:r>
      <w:r w:rsidRPr="00CF73CE">
        <w:t>relating</w:t>
      </w:r>
      <w:r w:rsidRPr="00472503">
        <w:rPr>
          <w:spacing w:val="2"/>
        </w:rPr>
        <w:t xml:space="preserve"> </w:t>
      </w:r>
      <w:r w:rsidRPr="00CF73CE">
        <w:t>to</w:t>
      </w:r>
      <w:r w:rsidRPr="00472503">
        <w:rPr>
          <w:spacing w:val="1"/>
        </w:rPr>
        <w:t xml:space="preserve"> </w:t>
      </w:r>
      <w:r w:rsidRPr="00CF73CE">
        <w:t>the</w:t>
      </w:r>
      <w:r w:rsidRPr="00472503">
        <w:rPr>
          <w:spacing w:val="2"/>
        </w:rPr>
        <w:t xml:space="preserve"> </w:t>
      </w:r>
      <w:r w:rsidRPr="00CF73CE">
        <w:t>Substance</w:t>
      </w:r>
      <w:r w:rsidRPr="00472503">
        <w:rPr>
          <w:spacing w:val="1"/>
        </w:rPr>
        <w:t xml:space="preserve"> </w:t>
      </w:r>
      <w:r w:rsidRPr="00CF73CE">
        <w:t>to</w:t>
      </w:r>
      <w:r w:rsidRPr="00472503">
        <w:rPr>
          <w:spacing w:val="2"/>
        </w:rPr>
        <w:t xml:space="preserve"> </w:t>
      </w:r>
      <w:r w:rsidRPr="00CF73CE">
        <w:t>the</w:t>
      </w:r>
      <w:r w:rsidRPr="00472503">
        <w:rPr>
          <w:spacing w:val="1"/>
        </w:rPr>
        <w:t xml:space="preserve"> </w:t>
      </w:r>
      <w:r w:rsidRPr="00CF73CE">
        <w:t>European</w:t>
      </w:r>
      <w:r w:rsidRPr="00472503">
        <w:rPr>
          <w:w w:val="99"/>
        </w:rPr>
        <w:t xml:space="preserve"> </w:t>
      </w:r>
      <w:r w:rsidRPr="00CF73CE">
        <w:t>Chemicals</w:t>
      </w:r>
      <w:r w:rsidRPr="00472503">
        <w:rPr>
          <w:spacing w:val="-15"/>
        </w:rPr>
        <w:t xml:space="preserve"> </w:t>
      </w:r>
      <w:r w:rsidRPr="00CF73CE">
        <w:t>Agency</w:t>
      </w:r>
      <w:r w:rsidRPr="00472503">
        <w:rPr>
          <w:spacing w:val="-14"/>
        </w:rPr>
        <w:t xml:space="preserve"> </w:t>
      </w:r>
      <w:r w:rsidRPr="00CF73CE">
        <w:t>(“</w:t>
      </w:r>
      <w:r w:rsidRPr="001428ED">
        <w:rPr>
          <w:b/>
        </w:rPr>
        <w:t>Agency</w:t>
      </w:r>
      <w:r w:rsidRPr="00CF73CE">
        <w:t>”);</w:t>
      </w:r>
    </w:p>
    <w:p w:rsidR="00994A7E" w:rsidRDefault="00994A7E" w:rsidP="001428ED">
      <w:pPr>
        <w:pStyle w:val="BodyText"/>
        <w:ind w:right="4"/>
        <w:rPr>
          <w:spacing w:val="-1"/>
        </w:rPr>
      </w:pPr>
      <w:r w:rsidRPr="00CF73CE">
        <w:t>Whereas</w:t>
      </w:r>
      <w:r w:rsidRPr="00472503">
        <w:rPr>
          <w:spacing w:val="19"/>
        </w:rPr>
        <w:t xml:space="preserve"> </w:t>
      </w:r>
      <w:r w:rsidRPr="00472503">
        <w:rPr>
          <w:spacing w:val="-1"/>
        </w:rPr>
        <w:t>the</w:t>
      </w:r>
      <w:r w:rsidRPr="00472503">
        <w:rPr>
          <w:spacing w:val="19"/>
        </w:rPr>
        <w:t xml:space="preserve"> </w:t>
      </w:r>
      <w:r w:rsidRPr="005840E6">
        <w:t>Parties</w:t>
      </w:r>
      <w:r w:rsidRPr="00472503">
        <w:rPr>
          <w:spacing w:val="19"/>
        </w:rPr>
        <w:t xml:space="preserve"> </w:t>
      </w:r>
      <w:r w:rsidRPr="00472503">
        <w:rPr>
          <w:spacing w:val="-1"/>
        </w:rPr>
        <w:t>are</w:t>
      </w:r>
      <w:r w:rsidRPr="00472503">
        <w:rPr>
          <w:spacing w:val="20"/>
        </w:rPr>
        <w:t xml:space="preserve"> </w:t>
      </w:r>
      <w:r w:rsidRPr="00CF73CE">
        <w:t>aware</w:t>
      </w:r>
      <w:r w:rsidRPr="00472503">
        <w:rPr>
          <w:spacing w:val="19"/>
        </w:rPr>
        <w:t xml:space="preserve"> </w:t>
      </w:r>
      <w:r w:rsidRPr="00CF73CE">
        <w:t>that</w:t>
      </w:r>
      <w:r w:rsidRPr="00472503">
        <w:rPr>
          <w:spacing w:val="19"/>
        </w:rPr>
        <w:t xml:space="preserve"> </w:t>
      </w:r>
      <w:r w:rsidRPr="00CF73CE">
        <w:t>they</w:t>
      </w:r>
      <w:r w:rsidRPr="00472503">
        <w:rPr>
          <w:spacing w:val="20"/>
        </w:rPr>
        <w:t xml:space="preserve"> </w:t>
      </w:r>
      <w:r w:rsidRPr="005840E6">
        <w:t>and/or</w:t>
      </w:r>
      <w:r w:rsidRPr="005840E6">
        <w:rPr>
          <w:spacing w:val="19"/>
        </w:rPr>
        <w:t xml:space="preserve"> </w:t>
      </w:r>
      <w:r w:rsidRPr="005840E6">
        <w:t>their</w:t>
      </w:r>
      <w:r w:rsidRPr="005840E6">
        <w:rPr>
          <w:spacing w:val="19"/>
        </w:rPr>
        <w:t xml:space="preserve"> </w:t>
      </w:r>
      <w:r w:rsidRPr="005840E6">
        <w:rPr>
          <w:spacing w:val="-1"/>
        </w:rPr>
        <w:t>Affiliates</w:t>
      </w:r>
      <w:r w:rsidRPr="005840E6">
        <w:rPr>
          <w:spacing w:val="19"/>
        </w:rPr>
        <w:t xml:space="preserve"> </w:t>
      </w:r>
      <w:r w:rsidRPr="00CF73CE">
        <w:t>have</w:t>
      </w:r>
      <w:r w:rsidRPr="00472503">
        <w:rPr>
          <w:spacing w:val="20"/>
        </w:rPr>
        <w:t xml:space="preserve"> </w:t>
      </w:r>
      <w:r w:rsidRPr="00472503">
        <w:rPr>
          <w:spacing w:val="-1"/>
        </w:rPr>
        <w:t>co-operation</w:t>
      </w:r>
      <w:r w:rsidRPr="00472503">
        <w:rPr>
          <w:spacing w:val="19"/>
        </w:rPr>
        <w:t xml:space="preserve"> </w:t>
      </w:r>
      <w:r w:rsidRPr="00472503">
        <w:rPr>
          <w:spacing w:val="-1"/>
        </w:rPr>
        <w:t>and</w:t>
      </w:r>
      <w:r w:rsidRPr="00472503">
        <w:rPr>
          <w:spacing w:val="19"/>
        </w:rPr>
        <w:t xml:space="preserve"> </w:t>
      </w:r>
      <w:r w:rsidRPr="00CF73CE">
        <w:t>data</w:t>
      </w:r>
      <w:r w:rsidRPr="00472503">
        <w:rPr>
          <w:spacing w:val="51"/>
          <w:w w:val="99"/>
        </w:rPr>
        <w:t xml:space="preserve"> </w:t>
      </w:r>
      <w:r w:rsidRPr="00CF73CE">
        <w:t>sharing</w:t>
      </w:r>
      <w:r w:rsidRPr="00472503">
        <w:rPr>
          <w:spacing w:val="-9"/>
        </w:rPr>
        <w:t xml:space="preserve"> </w:t>
      </w:r>
      <w:r w:rsidRPr="00CF73CE">
        <w:t>obligations</w:t>
      </w:r>
      <w:r w:rsidRPr="00472503">
        <w:rPr>
          <w:spacing w:val="-9"/>
        </w:rPr>
        <w:t xml:space="preserve"> </w:t>
      </w:r>
      <w:r w:rsidRPr="00CF73CE">
        <w:t>with</w:t>
      </w:r>
      <w:r w:rsidRPr="00472503">
        <w:rPr>
          <w:spacing w:val="-10"/>
        </w:rPr>
        <w:t xml:space="preserve"> </w:t>
      </w:r>
      <w:r w:rsidRPr="00CF73CE">
        <w:t>other</w:t>
      </w:r>
      <w:r w:rsidRPr="00472503">
        <w:rPr>
          <w:spacing w:val="-9"/>
        </w:rPr>
        <w:t xml:space="preserve"> </w:t>
      </w:r>
      <w:r w:rsidRPr="00CF73CE">
        <w:t>SIEF</w:t>
      </w:r>
      <w:r w:rsidRPr="00472503">
        <w:rPr>
          <w:spacing w:val="-9"/>
        </w:rPr>
        <w:t xml:space="preserve"> </w:t>
      </w:r>
      <w:r w:rsidRPr="00472503">
        <w:rPr>
          <w:spacing w:val="-1"/>
        </w:rPr>
        <w:t>participants</w:t>
      </w:r>
      <w:r w:rsidRPr="005840E6">
        <w:rPr>
          <w:spacing w:val="-1"/>
        </w:rPr>
        <w:t>;</w:t>
      </w:r>
    </w:p>
    <w:p w:rsidR="008E7264" w:rsidRPr="00472503" w:rsidRDefault="008E7264" w:rsidP="001428ED">
      <w:pPr>
        <w:pStyle w:val="BodyText"/>
        <w:ind w:right="4"/>
        <w:rPr>
          <w:spacing w:val="-1"/>
        </w:rPr>
      </w:pPr>
      <w:r w:rsidRPr="008E7264">
        <w:rPr>
          <w:spacing w:val="-1"/>
        </w:rPr>
        <w:t>Whereas, the Lead Registrant prepared and submitted a Joint Registration Dossier to the Agency for the Substance;</w:t>
      </w:r>
    </w:p>
    <w:p w:rsidR="00994A7E" w:rsidRPr="00CF73CE" w:rsidRDefault="00994A7E" w:rsidP="001428ED">
      <w:pPr>
        <w:pStyle w:val="BodyText"/>
        <w:ind w:right="4"/>
      </w:pPr>
      <w:r w:rsidRPr="00CF73CE">
        <w:t xml:space="preserve">Whereas the </w:t>
      </w:r>
      <w:r w:rsidRPr="001428ED">
        <w:t>Non-Lead</w:t>
      </w:r>
      <w:r w:rsidRPr="00CF73CE">
        <w:t xml:space="preserve"> Member has the intention to register</w:t>
      </w:r>
      <w:r w:rsidR="004A5810">
        <w:t xml:space="preserve"> or registered</w:t>
      </w:r>
      <w:r w:rsidRPr="00CF73CE">
        <w:t xml:space="preserve"> the Substance</w:t>
      </w:r>
      <w:r w:rsidR="004A5810">
        <w:t>;</w:t>
      </w:r>
    </w:p>
    <w:p w:rsidR="00994A7E" w:rsidRPr="00FF32BF" w:rsidRDefault="00994A7E" w:rsidP="00994A7E">
      <w:pPr>
        <w:autoSpaceDE w:val="0"/>
        <w:autoSpaceDN w:val="0"/>
        <w:adjustRightInd w:val="0"/>
        <w:rPr>
          <w:color w:val="000000"/>
        </w:rPr>
      </w:pPr>
      <w:r w:rsidRPr="00FF32BF">
        <w:rPr>
          <w:color w:val="000000"/>
        </w:rPr>
        <w:t xml:space="preserve">Whereas the European Commission adopted the </w:t>
      </w:r>
      <w:r w:rsidR="008E7264" w:rsidRPr="008E7264">
        <w:rPr>
          <w:color w:val="000000"/>
        </w:rPr>
        <w:t xml:space="preserve">Commission Implementing Regulation (EU) 2016/9 of 5 January 2016 on joint submission </w:t>
      </w:r>
      <w:r w:rsidR="008E7264">
        <w:rPr>
          <w:color w:val="000000"/>
        </w:rPr>
        <w:t xml:space="preserve">of data </w:t>
      </w:r>
      <w:r w:rsidRPr="00FF32BF">
        <w:rPr>
          <w:color w:val="000000"/>
        </w:rPr>
        <w:t>and data-sharing (the “</w:t>
      </w:r>
      <w:r w:rsidRPr="001428ED">
        <w:rPr>
          <w:b/>
          <w:color w:val="000000"/>
        </w:rPr>
        <w:t>Implementing Regulation 2016/9</w:t>
      </w:r>
      <w:r w:rsidRPr="00FF32BF">
        <w:rPr>
          <w:color w:val="000000"/>
        </w:rPr>
        <w:t>”), which entered into force on 26 January 2016, that inter alia defines more clearly what the terms ‘</w:t>
      </w:r>
      <w:r w:rsidRPr="00FF32BF">
        <w:rPr>
          <w:i/>
          <w:color w:val="000000"/>
        </w:rPr>
        <w:t>fair, transparent and non-discriminatory</w:t>
      </w:r>
      <w:r w:rsidRPr="00FF32BF">
        <w:rPr>
          <w:color w:val="000000"/>
        </w:rPr>
        <w:t>' mean for data and cost sharing obligations within REACH</w:t>
      </w:r>
      <w:r w:rsidR="004A5810">
        <w:rPr>
          <w:color w:val="000000"/>
        </w:rPr>
        <w:t>;</w:t>
      </w:r>
    </w:p>
    <w:p w:rsidR="00994A7E" w:rsidRPr="00CF73CE" w:rsidRDefault="00994A7E" w:rsidP="00994A7E">
      <w:pPr>
        <w:tabs>
          <w:tab w:val="left" w:pos="851"/>
        </w:tabs>
        <w:rPr>
          <w:color w:val="000000"/>
        </w:rPr>
      </w:pPr>
      <w:r w:rsidRPr="00CF73CE">
        <w:rPr>
          <w:color w:val="000000"/>
        </w:rPr>
        <w:t xml:space="preserve">Whereas the Agency </w:t>
      </w:r>
      <w:r w:rsidRPr="00FF32BF">
        <w:rPr>
          <w:color w:val="000000"/>
          <w:lang w:eastAsia="fr-FR"/>
        </w:rPr>
        <w:t>states</w:t>
      </w:r>
      <w:r w:rsidRPr="00CF73CE">
        <w:rPr>
          <w:color w:val="000000"/>
        </w:rPr>
        <w:t xml:space="preserve"> in its REACH </w:t>
      </w:r>
      <w:r w:rsidRPr="00FF32BF">
        <w:rPr>
          <w:color w:val="000000"/>
          <w:lang w:eastAsia="fr-FR"/>
        </w:rPr>
        <w:t>Guidance on data sharing of January 2017</w:t>
      </w:r>
      <w:r w:rsidRPr="00CF73CE">
        <w:rPr>
          <w:color w:val="000000"/>
        </w:rPr>
        <w:t xml:space="preserve"> that the SIEF participants</w:t>
      </w:r>
      <w:r w:rsidRPr="00FF32BF">
        <w:rPr>
          <w:color w:val="000000"/>
          <w:lang w:eastAsia="fr-FR"/>
        </w:rPr>
        <w:t xml:space="preserve"> have</w:t>
      </w:r>
      <w:r w:rsidRPr="00CF73CE">
        <w:rPr>
          <w:color w:val="000000"/>
        </w:rPr>
        <w:t xml:space="preserve"> to agree in writing certain SIEF operational rules concerning data sharing, rights on the developed information and sharing of costs</w:t>
      </w:r>
      <w:r w:rsidRPr="00FF32BF">
        <w:rPr>
          <w:color w:val="000000"/>
          <w:lang w:eastAsia="fr-FR"/>
        </w:rPr>
        <w:t>, including a reimbursement mechanism, in accordance with the aforementioned criteria of fairness, transparency and non-discrimination</w:t>
      </w:r>
      <w:r w:rsidR="008E7264">
        <w:rPr>
          <w:color w:val="000000"/>
        </w:rPr>
        <w:t>;</w:t>
      </w:r>
      <w:r w:rsidR="008E7264" w:rsidRPr="00CF73CE">
        <w:rPr>
          <w:color w:val="000000"/>
        </w:rPr>
        <w:t xml:space="preserve"> </w:t>
      </w:r>
    </w:p>
    <w:p w:rsidR="00994A7E" w:rsidRPr="005840E6" w:rsidRDefault="00994A7E" w:rsidP="00994A7E">
      <w:pPr>
        <w:tabs>
          <w:tab w:val="left" w:pos="851"/>
        </w:tabs>
        <w:rPr>
          <w:color w:val="000000"/>
        </w:rPr>
      </w:pPr>
      <w:r w:rsidRPr="001A48AC">
        <w:rPr>
          <w:color w:val="000000"/>
        </w:rPr>
        <w:t xml:space="preserve">Whereas </w:t>
      </w:r>
      <w:r w:rsidR="008E7264">
        <w:rPr>
          <w:color w:val="000000"/>
        </w:rPr>
        <w:t xml:space="preserve">the </w:t>
      </w:r>
      <w:r w:rsidR="008E7264" w:rsidRPr="008E7264">
        <w:rPr>
          <w:color w:val="000000"/>
        </w:rPr>
        <w:t>Commission Implementing Regulation (EU) 2019/1692 of 9 October 2019 on the application of certain registration and data-sharing provisions</w:t>
      </w:r>
      <w:r w:rsidR="008E7264">
        <w:rPr>
          <w:color w:val="000000"/>
        </w:rPr>
        <w:t xml:space="preserve"> </w:t>
      </w:r>
      <w:r w:rsidRPr="001A48AC">
        <w:rPr>
          <w:color w:val="000000"/>
        </w:rPr>
        <w:t xml:space="preserve">provides that registrants continue to have data-sharing obligations under REACH, and therefore registrants may continue to use communication platforms to coordinate such obligations, and the Parties intend the </w:t>
      </w:r>
      <w:r>
        <w:rPr>
          <w:color w:val="000000"/>
        </w:rPr>
        <w:t>existing SIEF</w:t>
      </w:r>
      <w:r w:rsidRPr="001A48AC">
        <w:rPr>
          <w:color w:val="000000"/>
        </w:rPr>
        <w:t xml:space="preserve"> to be such a platform</w:t>
      </w:r>
      <w:r>
        <w:rPr>
          <w:color w:val="000000"/>
        </w:rPr>
        <w:t>;</w:t>
      </w:r>
    </w:p>
    <w:p w:rsidR="00994A7E" w:rsidRPr="00472503" w:rsidRDefault="00994A7E" w:rsidP="00472503">
      <w:r w:rsidRPr="00472503">
        <w:t>Therefore, with a view to fulfilling their regulatory obligations under REACH in respect to the Substance, the Parties hereto have decided to pursue the following objectives (hereinafter the “</w:t>
      </w:r>
      <w:r w:rsidRPr="00472503">
        <w:rPr>
          <w:b/>
        </w:rPr>
        <w:t>Purpose</w:t>
      </w:r>
      <w:r w:rsidRPr="00472503">
        <w:t>”):</w:t>
      </w:r>
    </w:p>
    <w:p w:rsidR="00994A7E" w:rsidRPr="00472503" w:rsidRDefault="00994A7E" w:rsidP="00472503">
      <w:r w:rsidRPr="00472503">
        <w:t xml:space="preserve">1. to agree on the operating rules governing the exchanges of information between the SIEF </w:t>
      </w:r>
      <w:r w:rsidR="00A9084C">
        <w:t>participants</w:t>
      </w:r>
      <w:r w:rsidR="00A9084C" w:rsidRPr="00472503">
        <w:t xml:space="preserve"> </w:t>
      </w:r>
      <w:r w:rsidRPr="00472503">
        <w:t xml:space="preserve">(Title I); </w:t>
      </w:r>
    </w:p>
    <w:p w:rsidR="00994A7E" w:rsidRPr="00CF73CE" w:rsidRDefault="00994A7E" w:rsidP="00472503">
      <w:r w:rsidRPr="00472503">
        <w:t xml:space="preserve">2. to agree on the rules regarding the rights to participate in the joint submission of data, to use the (robust) study summaries and to refer to the relevant full study reports in the Joint Registration Dossier developed by the Lead </w:t>
      </w:r>
      <w:r w:rsidRPr="005840E6">
        <w:t>Registrant</w:t>
      </w:r>
      <w:r w:rsidRPr="00472503">
        <w:t xml:space="preserve"> (Title II); </w:t>
      </w:r>
    </w:p>
    <w:p w:rsidR="00994A7E" w:rsidRDefault="00994A7E" w:rsidP="0085006E">
      <w:pPr>
        <w:spacing w:after="0"/>
      </w:pPr>
      <w:r w:rsidRPr="00CF73CE">
        <w:t>under the terms and conditions set forth in this Agreement.</w:t>
      </w:r>
    </w:p>
    <w:p w:rsidR="0085006E" w:rsidRPr="00CF73CE" w:rsidRDefault="0085006E" w:rsidP="0085006E">
      <w:pPr>
        <w:spacing w:after="0"/>
      </w:pPr>
    </w:p>
    <w:p w:rsidR="00994A7E" w:rsidRDefault="00994A7E" w:rsidP="0085006E">
      <w:pPr>
        <w:pStyle w:val="Heading1"/>
        <w:spacing w:after="0"/>
      </w:pPr>
      <w:r w:rsidRPr="00472503">
        <w:t>THE PARTIES HAVE AGREED UPON THE FOLLOWING:</w:t>
      </w:r>
    </w:p>
    <w:p w:rsidR="0085006E" w:rsidRPr="0085006E" w:rsidRDefault="0085006E" w:rsidP="0085006E">
      <w:pPr>
        <w:spacing w:after="0"/>
      </w:pPr>
    </w:p>
    <w:p w:rsidR="0085006E" w:rsidRPr="0085006E" w:rsidRDefault="0085006E" w:rsidP="0085006E">
      <w:pPr>
        <w:spacing w:after="0"/>
      </w:pPr>
    </w:p>
    <w:p w:rsidR="00994A7E" w:rsidRPr="00472503" w:rsidRDefault="00994A7E" w:rsidP="00994A7E">
      <w:pPr>
        <w:pStyle w:val="Heading2"/>
      </w:pPr>
      <w:bookmarkStart w:id="1" w:name="_Toc225218086"/>
      <w:bookmarkStart w:id="2" w:name="_Ref6935439"/>
      <w:bookmarkStart w:id="3" w:name="_Ref6935659"/>
      <w:bookmarkStart w:id="4" w:name="_Ref6935863"/>
      <w:bookmarkStart w:id="5" w:name="_Ref6990175"/>
      <w:r w:rsidRPr="00472503">
        <w:t>Definitions</w:t>
      </w:r>
      <w:bookmarkEnd w:id="1"/>
      <w:bookmarkEnd w:id="2"/>
      <w:bookmarkEnd w:id="3"/>
      <w:bookmarkEnd w:id="4"/>
      <w:bookmarkEnd w:id="5"/>
    </w:p>
    <w:p w:rsidR="00994A7E" w:rsidRPr="00472503" w:rsidRDefault="00994A7E" w:rsidP="00472503">
      <w:pPr>
        <w:pStyle w:val="BodyText"/>
        <w:ind w:right="112"/>
      </w:pPr>
      <w:r w:rsidRPr="00472503">
        <w:t>Terms</w:t>
      </w:r>
      <w:r w:rsidRPr="00472503">
        <w:rPr>
          <w:spacing w:val="2"/>
        </w:rPr>
        <w:t xml:space="preserve"> </w:t>
      </w:r>
      <w:r w:rsidRPr="00472503">
        <w:t>written</w:t>
      </w:r>
      <w:r w:rsidRPr="00472503">
        <w:rPr>
          <w:spacing w:val="4"/>
        </w:rPr>
        <w:t xml:space="preserve"> </w:t>
      </w:r>
      <w:r w:rsidRPr="00472503">
        <w:t>in</w:t>
      </w:r>
      <w:r w:rsidRPr="00472503">
        <w:rPr>
          <w:spacing w:val="2"/>
        </w:rPr>
        <w:t xml:space="preserve"> </w:t>
      </w:r>
      <w:r w:rsidRPr="00472503">
        <w:rPr>
          <w:spacing w:val="-1"/>
        </w:rPr>
        <w:t>capital</w:t>
      </w:r>
      <w:r w:rsidRPr="00472503">
        <w:rPr>
          <w:spacing w:val="3"/>
        </w:rPr>
        <w:t xml:space="preserve"> </w:t>
      </w:r>
      <w:r w:rsidRPr="00472503">
        <w:t>letters</w:t>
      </w:r>
      <w:r w:rsidRPr="00472503">
        <w:rPr>
          <w:spacing w:val="3"/>
        </w:rPr>
        <w:t xml:space="preserve"> </w:t>
      </w:r>
      <w:r w:rsidRPr="00472503">
        <w:t>are</w:t>
      </w:r>
      <w:r w:rsidRPr="00472503">
        <w:rPr>
          <w:spacing w:val="3"/>
        </w:rPr>
        <w:t xml:space="preserve"> </w:t>
      </w:r>
      <w:r w:rsidRPr="00472503">
        <w:rPr>
          <w:spacing w:val="-1"/>
        </w:rPr>
        <w:t>defined</w:t>
      </w:r>
      <w:r w:rsidRPr="00472503">
        <w:rPr>
          <w:spacing w:val="2"/>
        </w:rPr>
        <w:t xml:space="preserve"> </w:t>
      </w:r>
      <w:r w:rsidRPr="00472503">
        <w:t>in</w:t>
      </w:r>
      <w:r w:rsidRPr="00472503">
        <w:rPr>
          <w:spacing w:val="3"/>
        </w:rPr>
        <w:t xml:space="preserve"> </w:t>
      </w:r>
      <w:r w:rsidRPr="00472503">
        <w:t>the</w:t>
      </w:r>
      <w:r w:rsidRPr="00472503">
        <w:rPr>
          <w:spacing w:val="1"/>
        </w:rPr>
        <w:t xml:space="preserve"> </w:t>
      </w:r>
      <w:r w:rsidRPr="00472503">
        <w:t>Preamble</w:t>
      </w:r>
      <w:r w:rsidRPr="00472503">
        <w:rPr>
          <w:spacing w:val="3"/>
        </w:rPr>
        <w:t xml:space="preserve"> </w:t>
      </w:r>
      <w:r w:rsidRPr="00472503">
        <w:t>above,</w:t>
      </w:r>
      <w:r w:rsidRPr="00472503">
        <w:rPr>
          <w:spacing w:val="3"/>
        </w:rPr>
        <w:t xml:space="preserve"> </w:t>
      </w:r>
      <w:r w:rsidRPr="00472503">
        <w:t>in</w:t>
      </w:r>
      <w:r w:rsidRPr="00472503">
        <w:rPr>
          <w:spacing w:val="2"/>
        </w:rPr>
        <w:t xml:space="preserve"> </w:t>
      </w:r>
      <w:r w:rsidRPr="00472503">
        <w:t>this</w:t>
      </w:r>
      <w:r w:rsidRPr="00472503">
        <w:rPr>
          <w:spacing w:val="3"/>
        </w:rPr>
        <w:t xml:space="preserve"> </w:t>
      </w:r>
      <w:r>
        <w:fldChar w:fldCharType="begin"/>
      </w:r>
      <w:r>
        <w:rPr>
          <w:spacing w:val="3"/>
        </w:rPr>
        <w:instrText xml:space="preserve"> REF _Ref6935439 \r \h </w:instrText>
      </w:r>
      <w:r>
        <w:fldChar w:fldCharType="separate"/>
      </w:r>
      <w:r>
        <w:rPr>
          <w:spacing w:val="3"/>
        </w:rPr>
        <w:t>Article I</w:t>
      </w:r>
      <w:r>
        <w:fldChar w:fldCharType="end"/>
      </w:r>
      <w:r w:rsidRPr="00472503">
        <w:rPr>
          <w:spacing w:val="3"/>
        </w:rPr>
        <w:t xml:space="preserve"> </w:t>
      </w:r>
      <w:r w:rsidRPr="00472503">
        <w:t>or in</w:t>
      </w:r>
      <w:r w:rsidRPr="00472503">
        <w:rPr>
          <w:spacing w:val="3"/>
        </w:rPr>
        <w:t xml:space="preserve"> </w:t>
      </w:r>
      <w:r w:rsidRPr="00472503">
        <w:t>other</w:t>
      </w:r>
      <w:r w:rsidRPr="00472503">
        <w:rPr>
          <w:spacing w:val="24"/>
          <w:w w:val="99"/>
        </w:rPr>
        <w:t xml:space="preserve"> </w:t>
      </w:r>
      <w:r w:rsidRPr="00472503">
        <w:t>parts</w:t>
      </w:r>
      <w:r w:rsidRPr="00472503">
        <w:rPr>
          <w:spacing w:val="37"/>
        </w:rPr>
        <w:t xml:space="preserve"> </w:t>
      </w:r>
      <w:r w:rsidRPr="00472503">
        <w:t>of</w:t>
      </w:r>
      <w:r w:rsidRPr="00472503">
        <w:rPr>
          <w:spacing w:val="37"/>
        </w:rPr>
        <w:t xml:space="preserve"> </w:t>
      </w:r>
      <w:r w:rsidRPr="00472503">
        <w:rPr>
          <w:spacing w:val="-1"/>
        </w:rPr>
        <w:t>this Agreement</w:t>
      </w:r>
      <w:r w:rsidRPr="00472503">
        <w:t>.</w:t>
      </w:r>
      <w:r w:rsidRPr="00472503">
        <w:rPr>
          <w:spacing w:val="36"/>
        </w:rPr>
        <w:t xml:space="preserve"> </w:t>
      </w:r>
      <w:r w:rsidRPr="00472503">
        <w:t>To</w:t>
      </w:r>
      <w:r w:rsidRPr="00472503">
        <w:rPr>
          <w:spacing w:val="38"/>
        </w:rPr>
        <w:t xml:space="preserve"> </w:t>
      </w:r>
      <w:r w:rsidRPr="00472503">
        <w:t>the</w:t>
      </w:r>
      <w:r w:rsidRPr="00472503">
        <w:rPr>
          <w:spacing w:val="37"/>
        </w:rPr>
        <w:t xml:space="preserve"> </w:t>
      </w:r>
      <w:r w:rsidRPr="00472503">
        <w:t>extent</w:t>
      </w:r>
      <w:r w:rsidRPr="00472503">
        <w:rPr>
          <w:spacing w:val="37"/>
        </w:rPr>
        <w:t xml:space="preserve"> </w:t>
      </w:r>
      <w:r w:rsidRPr="00472503">
        <w:t>not</w:t>
      </w:r>
      <w:r w:rsidRPr="00472503">
        <w:rPr>
          <w:spacing w:val="38"/>
        </w:rPr>
        <w:t xml:space="preserve"> </w:t>
      </w:r>
      <w:r w:rsidRPr="00472503">
        <w:rPr>
          <w:spacing w:val="-1"/>
        </w:rPr>
        <w:t>otherwise</w:t>
      </w:r>
      <w:r w:rsidRPr="00472503">
        <w:rPr>
          <w:spacing w:val="37"/>
        </w:rPr>
        <w:t xml:space="preserve"> </w:t>
      </w:r>
      <w:r w:rsidRPr="00472503">
        <w:rPr>
          <w:spacing w:val="-1"/>
        </w:rPr>
        <w:t>defined</w:t>
      </w:r>
      <w:r w:rsidRPr="00472503">
        <w:rPr>
          <w:spacing w:val="37"/>
        </w:rPr>
        <w:t xml:space="preserve"> </w:t>
      </w:r>
      <w:r w:rsidRPr="005840E6">
        <w:t>hereunder</w:t>
      </w:r>
      <w:r w:rsidRPr="00472503">
        <w:t>,</w:t>
      </w:r>
      <w:r w:rsidRPr="00472503">
        <w:rPr>
          <w:spacing w:val="-8"/>
        </w:rPr>
        <w:t xml:space="preserve"> </w:t>
      </w:r>
      <w:r w:rsidRPr="00472503">
        <w:t>any</w:t>
      </w:r>
      <w:r w:rsidRPr="00472503">
        <w:rPr>
          <w:spacing w:val="-6"/>
        </w:rPr>
        <w:t xml:space="preserve"> </w:t>
      </w:r>
      <w:r w:rsidRPr="00472503">
        <w:rPr>
          <w:spacing w:val="-1"/>
        </w:rPr>
        <w:t>definition</w:t>
      </w:r>
      <w:r w:rsidRPr="00472503">
        <w:rPr>
          <w:spacing w:val="-6"/>
        </w:rPr>
        <w:t xml:space="preserve"> </w:t>
      </w:r>
      <w:r w:rsidRPr="00472503">
        <w:t>specified</w:t>
      </w:r>
      <w:r w:rsidRPr="00472503">
        <w:rPr>
          <w:spacing w:val="-6"/>
        </w:rPr>
        <w:t xml:space="preserve"> </w:t>
      </w:r>
      <w:r w:rsidRPr="00472503">
        <w:t>in REACH,</w:t>
      </w:r>
      <w:r w:rsidRPr="00472503">
        <w:rPr>
          <w:spacing w:val="-6"/>
        </w:rPr>
        <w:t xml:space="preserve"> </w:t>
      </w:r>
      <w:r w:rsidRPr="00472503">
        <w:t>in</w:t>
      </w:r>
      <w:r w:rsidRPr="00472503">
        <w:rPr>
          <w:spacing w:val="-6"/>
        </w:rPr>
        <w:t xml:space="preserve"> </w:t>
      </w:r>
      <w:r w:rsidRPr="00472503">
        <w:t>particular</w:t>
      </w:r>
      <w:r w:rsidRPr="00472503">
        <w:rPr>
          <w:spacing w:val="-6"/>
        </w:rPr>
        <w:t xml:space="preserve"> </w:t>
      </w:r>
      <w:r w:rsidRPr="005840E6">
        <w:t>its</w:t>
      </w:r>
      <w:r w:rsidRPr="00472503">
        <w:t xml:space="preserve"> Article 3,</w:t>
      </w:r>
      <w:r w:rsidRPr="00472503">
        <w:rPr>
          <w:spacing w:val="-6"/>
        </w:rPr>
        <w:t xml:space="preserve"> </w:t>
      </w:r>
      <w:r w:rsidRPr="00472503">
        <w:t>shall</w:t>
      </w:r>
      <w:r w:rsidRPr="00472503">
        <w:rPr>
          <w:spacing w:val="-6"/>
        </w:rPr>
        <w:t xml:space="preserve"> </w:t>
      </w:r>
      <w:r w:rsidRPr="00472503">
        <w:t>apply:</w:t>
      </w:r>
    </w:p>
    <w:p w:rsidR="00994A7E" w:rsidRPr="00472503" w:rsidRDefault="00994A7E" w:rsidP="00472503">
      <w:pPr>
        <w:pStyle w:val="BodyText"/>
        <w:ind w:right="112"/>
      </w:pPr>
      <w:r w:rsidRPr="00472503">
        <w:rPr>
          <w:b/>
        </w:rPr>
        <w:t>Affiliate</w:t>
      </w:r>
      <w:r w:rsidRPr="00472503">
        <w:t>:</w:t>
      </w:r>
      <w:r w:rsidRPr="00472503">
        <w:rPr>
          <w:spacing w:val="15"/>
        </w:rPr>
        <w:t xml:space="preserve"> </w:t>
      </w:r>
      <w:r w:rsidRPr="00472503">
        <w:t>Any</w:t>
      </w:r>
      <w:r w:rsidRPr="00472503">
        <w:rPr>
          <w:spacing w:val="16"/>
        </w:rPr>
        <w:t xml:space="preserve"> </w:t>
      </w:r>
      <w:r w:rsidRPr="00472503">
        <w:t>legal</w:t>
      </w:r>
      <w:r w:rsidRPr="00472503">
        <w:rPr>
          <w:spacing w:val="16"/>
        </w:rPr>
        <w:t xml:space="preserve"> </w:t>
      </w:r>
      <w:r w:rsidRPr="00472503">
        <w:rPr>
          <w:spacing w:val="-1"/>
        </w:rPr>
        <w:t>entity</w:t>
      </w:r>
      <w:r w:rsidRPr="00472503">
        <w:rPr>
          <w:spacing w:val="16"/>
        </w:rPr>
        <w:t xml:space="preserve"> </w:t>
      </w:r>
      <w:r w:rsidRPr="00472503">
        <w:rPr>
          <w:spacing w:val="-1"/>
        </w:rPr>
        <w:t>controlling,</w:t>
      </w:r>
      <w:r w:rsidRPr="00472503">
        <w:rPr>
          <w:spacing w:val="16"/>
        </w:rPr>
        <w:t xml:space="preserve"> </w:t>
      </w:r>
      <w:r w:rsidRPr="00472503">
        <w:t>controlled</w:t>
      </w:r>
      <w:r w:rsidRPr="00472503">
        <w:rPr>
          <w:spacing w:val="13"/>
        </w:rPr>
        <w:t xml:space="preserve"> </w:t>
      </w:r>
      <w:r w:rsidRPr="00472503">
        <w:t>by,</w:t>
      </w:r>
      <w:r w:rsidRPr="00472503">
        <w:rPr>
          <w:spacing w:val="15"/>
        </w:rPr>
        <w:t xml:space="preserve"> </w:t>
      </w:r>
      <w:r w:rsidRPr="00472503">
        <w:t>or</w:t>
      </w:r>
      <w:r w:rsidRPr="00472503">
        <w:rPr>
          <w:spacing w:val="16"/>
        </w:rPr>
        <w:t xml:space="preserve"> </w:t>
      </w:r>
      <w:r w:rsidRPr="00472503">
        <w:t>under</w:t>
      </w:r>
      <w:r w:rsidRPr="00472503">
        <w:rPr>
          <w:spacing w:val="16"/>
        </w:rPr>
        <w:t xml:space="preserve"> </w:t>
      </w:r>
      <w:r w:rsidRPr="00472503">
        <w:t>common</w:t>
      </w:r>
      <w:r w:rsidRPr="00472503">
        <w:rPr>
          <w:spacing w:val="15"/>
        </w:rPr>
        <w:t xml:space="preserve"> </w:t>
      </w:r>
      <w:r w:rsidRPr="00472503">
        <w:t>control</w:t>
      </w:r>
      <w:r w:rsidRPr="00472503">
        <w:rPr>
          <w:spacing w:val="15"/>
        </w:rPr>
        <w:t xml:space="preserve"> </w:t>
      </w:r>
      <w:r w:rsidRPr="00472503">
        <w:t>with,</w:t>
      </w:r>
      <w:r w:rsidRPr="00472503">
        <w:rPr>
          <w:spacing w:val="31"/>
          <w:w w:val="99"/>
        </w:rPr>
        <w:t xml:space="preserve"> </w:t>
      </w:r>
      <w:r w:rsidRPr="00472503">
        <w:t>either</w:t>
      </w:r>
      <w:r w:rsidRPr="00472503">
        <w:rPr>
          <w:spacing w:val="8"/>
        </w:rPr>
        <w:t xml:space="preserve"> </w:t>
      </w:r>
      <w:r w:rsidRPr="00472503">
        <w:rPr>
          <w:spacing w:val="-1"/>
        </w:rPr>
        <w:t>directly</w:t>
      </w:r>
      <w:r w:rsidRPr="00472503">
        <w:rPr>
          <w:spacing w:val="7"/>
        </w:rPr>
        <w:t xml:space="preserve"> </w:t>
      </w:r>
      <w:r w:rsidRPr="00472503">
        <w:t>or</w:t>
      </w:r>
      <w:r w:rsidRPr="00472503">
        <w:rPr>
          <w:spacing w:val="8"/>
        </w:rPr>
        <w:t xml:space="preserve"> </w:t>
      </w:r>
      <w:r w:rsidRPr="00472503">
        <w:rPr>
          <w:spacing w:val="-1"/>
        </w:rPr>
        <w:t>indirectly,</w:t>
      </w:r>
      <w:r w:rsidRPr="00472503">
        <w:rPr>
          <w:spacing w:val="8"/>
        </w:rPr>
        <w:t xml:space="preserve"> </w:t>
      </w:r>
      <w:r w:rsidRPr="00472503">
        <w:t>a</w:t>
      </w:r>
      <w:r w:rsidRPr="00472503">
        <w:rPr>
          <w:spacing w:val="9"/>
        </w:rPr>
        <w:t xml:space="preserve"> </w:t>
      </w:r>
      <w:r w:rsidRPr="00472503">
        <w:t>Party</w:t>
      </w:r>
      <w:r w:rsidRPr="00472503">
        <w:rPr>
          <w:spacing w:val="8"/>
        </w:rPr>
        <w:t xml:space="preserve"> </w:t>
      </w:r>
      <w:r w:rsidRPr="00472503">
        <w:t>or</w:t>
      </w:r>
      <w:r w:rsidRPr="00472503">
        <w:rPr>
          <w:spacing w:val="8"/>
        </w:rPr>
        <w:t xml:space="preserve"> </w:t>
      </w:r>
      <w:r w:rsidRPr="00472503">
        <w:t>in</w:t>
      </w:r>
      <w:r w:rsidRPr="00472503">
        <w:rPr>
          <w:spacing w:val="8"/>
        </w:rPr>
        <w:t xml:space="preserve"> </w:t>
      </w:r>
      <w:r w:rsidRPr="00472503">
        <w:t>case</w:t>
      </w:r>
      <w:r w:rsidRPr="00472503">
        <w:rPr>
          <w:spacing w:val="9"/>
        </w:rPr>
        <w:t xml:space="preserve"> </w:t>
      </w:r>
      <w:r w:rsidRPr="00472503">
        <w:t>of</w:t>
      </w:r>
      <w:r w:rsidRPr="00472503">
        <w:rPr>
          <w:spacing w:val="7"/>
        </w:rPr>
        <w:t xml:space="preserve"> </w:t>
      </w:r>
      <w:r w:rsidRPr="00472503">
        <w:t>an</w:t>
      </w:r>
      <w:r w:rsidRPr="00472503">
        <w:rPr>
          <w:spacing w:val="8"/>
        </w:rPr>
        <w:t xml:space="preserve"> </w:t>
      </w:r>
      <w:r w:rsidRPr="005840E6">
        <w:t>Only</w:t>
      </w:r>
      <w:r w:rsidRPr="005840E6">
        <w:rPr>
          <w:spacing w:val="8"/>
        </w:rPr>
        <w:t xml:space="preserve"> </w:t>
      </w:r>
      <w:r w:rsidRPr="005840E6">
        <w:t>Representative</w:t>
      </w:r>
      <w:r w:rsidRPr="00472503">
        <w:t>,</w:t>
      </w:r>
      <w:r w:rsidRPr="00472503">
        <w:rPr>
          <w:spacing w:val="9"/>
        </w:rPr>
        <w:t xml:space="preserve"> </w:t>
      </w:r>
      <w:r w:rsidRPr="00472503">
        <w:t>the</w:t>
      </w:r>
      <w:r w:rsidRPr="00472503">
        <w:rPr>
          <w:spacing w:val="8"/>
        </w:rPr>
        <w:t xml:space="preserve"> </w:t>
      </w:r>
      <w:r w:rsidRPr="00472503">
        <w:rPr>
          <w:spacing w:val="-1"/>
        </w:rPr>
        <w:t>affiliate</w:t>
      </w:r>
      <w:r w:rsidRPr="00472503">
        <w:rPr>
          <w:spacing w:val="49"/>
          <w:w w:val="99"/>
        </w:rPr>
        <w:t xml:space="preserve"> </w:t>
      </w:r>
      <w:r w:rsidRPr="00472503">
        <w:t>of</w:t>
      </w:r>
      <w:r w:rsidRPr="00472503">
        <w:rPr>
          <w:spacing w:val="1"/>
        </w:rPr>
        <w:t xml:space="preserve"> </w:t>
      </w:r>
      <w:r w:rsidRPr="00472503">
        <w:t>the</w:t>
      </w:r>
      <w:r w:rsidRPr="00472503">
        <w:rPr>
          <w:spacing w:val="1"/>
        </w:rPr>
        <w:t xml:space="preserve"> </w:t>
      </w:r>
      <w:r w:rsidRPr="00472503">
        <w:t>non-EU</w:t>
      </w:r>
      <w:r w:rsidRPr="00472503">
        <w:rPr>
          <w:spacing w:val="1"/>
        </w:rPr>
        <w:t xml:space="preserve"> </w:t>
      </w:r>
      <w:r w:rsidRPr="00472503">
        <w:t>manufacturer</w:t>
      </w:r>
      <w:r w:rsidRPr="00472503">
        <w:rPr>
          <w:spacing w:val="1"/>
        </w:rPr>
        <w:t xml:space="preserve"> </w:t>
      </w:r>
      <w:r w:rsidRPr="00472503">
        <w:t>or</w:t>
      </w:r>
      <w:r w:rsidRPr="00472503">
        <w:rPr>
          <w:spacing w:val="1"/>
        </w:rPr>
        <w:t xml:space="preserve"> </w:t>
      </w:r>
      <w:r w:rsidRPr="00472503">
        <w:t>in</w:t>
      </w:r>
      <w:r w:rsidRPr="00472503">
        <w:rPr>
          <w:spacing w:val="1"/>
        </w:rPr>
        <w:t xml:space="preserve"> </w:t>
      </w:r>
      <w:r w:rsidRPr="00472503">
        <w:t>case</w:t>
      </w:r>
      <w:r w:rsidRPr="00472503">
        <w:rPr>
          <w:spacing w:val="1"/>
        </w:rPr>
        <w:t xml:space="preserve"> </w:t>
      </w:r>
      <w:r w:rsidRPr="00472503">
        <w:t>of</w:t>
      </w:r>
      <w:r w:rsidRPr="00472503">
        <w:rPr>
          <w:spacing w:val="1"/>
        </w:rPr>
        <w:t xml:space="preserve"> </w:t>
      </w:r>
      <w:r w:rsidRPr="00472503">
        <w:t>a</w:t>
      </w:r>
      <w:r w:rsidRPr="00472503">
        <w:rPr>
          <w:spacing w:val="1"/>
        </w:rPr>
        <w:t xml:space="preserve"> </w:t>
      </w:r>
      <w:r w:rsidRPr="005840E6">
        <w:t>Third</w:t>
      </w:r>
      <w:r w:rsidRPr="005840E6">
        <w:rPr>
          <w:spacing w:val="1"/>
        </w:rPr>
        <w:t xml:space="preserve"> </w:t>
      </w:r>
      <w:r w:rsidRPr="005840E6">
        <w:t>Party</w:t>
      </w:r>
      <w:r w:rsidRPr="005840E6">
        <w:rPr>
          <w:spacing w:val="1"/>
        </w:rPr>
        <w:t xml:space="preserve"> </w:t>
      </w:r>
      <w:r w:rsidRPr="005840E6">
        <w:t>Representative</w:t>
      </w:r>
      <w:r w:rsidRPr="00472503">
        <w:t>,</w:t>
      </w:r>
      <w:r w:rsidRPr="00472503">
        <w:rPr>
          <w:spacing w:val="1"/>
        </w:rPr>
        <w:t xml:space="preserve"> </w:t>
      </w:r>
      <w:r w:rsidRPr="00472503">
        <w:t>the</w:t>
      </w:r>
      <w:r w:rsidRPr="00472503">
        <w:rPr>
          <w:spacing w:val="1"/>
        </w:rPr>
        <w:t xml:space="preserve"> </w:t>
      </w:r>
      <w:r w:rsidRPr="00472503">
        <w:t>affiliate</w:t>
      </w:r>
      <w:r w:rsidRPr="00472503">
        <w:rPr>
          <w:spacing w:val="1"/>
        </w:rPr>
        <w:t xml:space="preserve"> </w:t>
      </w:r>
      <w:r w:rsidRPr="00472503">
        <w:rPr>
          <w:spacing w:val="-1"/>
        </w:rPr>
        <w:t>of</w:t>
      </w:r>
      <w:r w:rsidRPr="00472503">
        <w:rPr>
          <w:spacing w:val="22"/>
          <w:w w:val="99"/>
        </w:rPr>
        <w:t xml:space="preserve"> </w:t>
      </w:r>
      <w:r w:rsidRPr="00472503">
        <w:t>the</w:t>
      </w:r>
      <w:r w:rsidRPr="00472503">
        <w:rPr>
          <w:spacing w:val="45"/>
        </w:rPr>
        <w:t xml:space="preserve"> </w:t>
      </w:r>
      <w:r w:rsidRPr="00472503">
        <w:t>legal</w:t>
      </w:r>
      <w:r w:rsidRPr="00472503">
        <w:rPr>
          <w:spacing w:val="47"/>
        </w:rPr>
        <w:t xml:space="preserve"> </w:t>
      </w:r>
      <w:r w:rsidRPr="00472503">
        <w:rPr>
          <w:spacing w:val="-1"/>
        </w:rPr>
        <w:t>entity</w:t>
      </w:r>
      <w:r w:rsidRPr="00472503">
        <w:rPr>
          <w:spacing w:val="46"/>
        </w:rPr>
        <w:t xml:space="preserve"> </w:t>
      </w:r>
      <w:r w:rsidRPr="00472503">
        <w:t>represented.</w:t>
      </w:r>
      <w:r w:rsidRPr="00472503">
        <w:rPr>
          <w:spacing w:val="46"/>
        </w:rPr>
        <w:t xml:space="preserve"> </w:t>
      </w:r>
      <w:r w:rsidRPr="00472503">
        <w:t>For</w:t>
      </w:r>
      <w:r w:rsidRPr="00472503">
        <w:rPr>
          <w:spacing w:val="45"/>
        </w:rPr>
        <w:t xml:space="preserve"> </w:t>
      </w:r>
      <w:r w:rsidRPr="00472503">
        <w:rPr>
          <w:spacing w:val="-1"/>
        </w:rPr>
        <w:t>these</w:t>
      </w:r>
      <w:r w:rsidRPr="00472503">
        <w:rPr>
          <w:spacing w:val="47"/>
        </w:rPr>
        <w:t xml:space="preserve"> </w:t>
      </w:r>
      <w:r w:rsidRPr="00472503">
        <w:rPr>
          <w:spacing w:val="-1"/>
        </w:rPr>
        <w:t>purposes,</w:t>
      </w:r>
      <w:r w:rsidRPr="00472503">
        <w:rPr>
          <w:spacing w:val="44"/>
        </w:rPr>
        <w:t xml:space="preserve"> </w:t>
      </w:r>
      <w:r w:rsidRPr="00472503">
        <w:rPr>
          <w:spacing w:val="-1"/>
        </w:rPr>
        <w:t>“control”</w:t>
      </w:r>
      <w:r w:rsidRPr="00472503">
        <w:rPr>
          <w:spacing w:val="46"/>
        </w:rPr>
        <w:t xml:space="preserve"> </w:t>
      </w:r>
      <w:r w:rsidRPr="00472503">
        <w:t>shall</w:t>
      </w:r>
      <w:r w:rsidRPr="00472503">
        <w:rPr>
          <w:spacing w:val="45"/>
        </w:rPr>
        <w:t xml:space="preserve"> </w:t>
      </w:r>
      <w:r w:rsidRPr="00472503">
        <w:t>refer</w:t>
      </w:r>
      <w:r w:rsidRPr="00472503">
        <w:rPr>
          <w:spacing w:val="44"/>
        </w:rPr>
        <w:t xml:space="preserve"> </w:t>
      </w:r>
      <w:r w:rsidRPr="00472503">
        <w:t>to:</w:t>
      </w:r>
      <w:r w:rsidRPr="00472503">
        <w:rPr>
          <w:spacing w:val="45"/>
        </w:rPr>
        <w:t xml:space="preserve"> </w:t>
      </w:r>
      <w:r w:rsidRPr="00472503">
        <w:t>(i)</w:t>
      </w:r>
      <w:r w:rsidRPr="00472503">
        <w:rPr>
          <w:spacing w:val="44"/>
        </w:rPr>
        <w:t xml:space="preserve"> </w:t>
      </w:r>
      <w:r w:rsidRPr="00472503">
        <w:t>the</w:t>
      </w:r>
      <w:r w:rsidRPr="00472503">
        <w:rPr>
          <w:spacing w:val="49"/>
          <w:w w:val="99"/>
        </w:rPr>
        <w:t xml:space="preserve"> </w:t>
      </w:r>
      <w:r w:rsidRPr="00472503">
        <w:t>possession,</w:t>
      </w:r>
      <w:r w:rsidRPr="00472503">
        <w:rPr>
          <w:spacing w:val="4"/>
        </w:rPr>
        <w:t xml:space="preserve"> </w:t>
      </w:r>
      <w:r w:rsidRPr="00472503">
        <w:t>directly</w:t>
      </w:r>
      <w:r w:rsidRPr="00472503">
        <w:rPr>
          <w:spacing w:val="5"/>
        </w:rPr>
        <w:t xml:space="preserve"> </w:t>
      </w:r>
      <w:r w:rsidRPr="00472503">
        <w:t>or</w:t>
      </w:r>
      <w:r w:rsidRPr="00472503">
        <w:rPr>
          <w:spacing w:val="4"/>
        </w:rPr>
        <w:t xml:space="preserve"> </w:t>
      </w:r>
      <w:r w:rsidRPr="00472503">
        <w:t>indirectly,</w:t>
      </w:r>
      <w:r w:rsidRPr="00472503">
        <w:rPr>
          <w:spacing w:val="5"/>
        </w:rPr>
        <w:t xml:space="preserve"> </w:t>
      </w:r>
      <w:r w:rsidRPr="00472503">
        <w:t>of</w:t>
      </w:r>
      <w:r w:rsidRPr="00472503">
        <w:rPr>
          <w:spacing w:val="4"/>
        </w:rPr>
        <w:t xml:space="preserve"> </w:t>
      </w:r>
      <w:r w:rsidRPr="00472503">
        <w:t>the</w:t>
      </w:r>
      <w:r w:rsidRPr="00472503">
        <w:rPr>
          <w:spacing w:val="5"/>
        </w:rPr>
        <w:t xml:space="preserve"> </w:t>
      </w:r>
      <w:r w:rsidRPr="00472503">
        <w:t>power</w:t>
      </w:r>
      <w:r w:rsidRPr="00472503">
        <w:rPr>
          <w:spacing w:val="6"/>
        </w:rPr>
        <w:t xml:space="preserve"> </w:t>
      </w:r>
      <w:r w:rsidRPr="00472503">
        <w:rPr>
          <w:spacing w:val="-1"/>
        </w:rPr>
        <w:t>to</w:t>
      </w:r>
      <w:r w:rsidRPr="00472503">
        <w:rPr>
          <w:spacing w:val="5"/>
        </w:rPr>
        <w:t xml:space="preserve"> </w:t>
      </w:r>
      <w:r w:rsidRPr="00472503">
        <w:t>direct</w:t>
      </w:r>
      <w:r w:rsidRPr="00472503">
        <w:rPr>
          <w:spacing w:val="4"/>
        </w:rPr>
        <w:t xml:space="preserve"> </w:t>
      </w:r>
      <w:r w:rsidRPr="00472503">
        <w:t>the</w:t>
      </w:r>
      <w:r w:rsidRPr="00472503">
        <w:rPr>
          <w:spacing w:val="4"/>
        </w:rPr>
        <w:t xml:space="preserve"> </w:t>
      </w:r>
      <w:r w:rsidRPr="00472503">
        <w:t>management</w:t>
      </w:r>
      <w:r w:rsidRPr="00472503">
        <w:rPr>
          <w:spacing w:val="5"/>
        </w:rPr>
        <w:t xml:space="preserve"> </w:t>
      </w:r>
      <w:r w:rsidRPr="00472503">
        <w:t>or</w:t>
      </w:r>
      <w:r w:rsidRPr="00472503">
        <w:rPr>
          <w:spacing w:val="5"/>
        </w:rPr>
        <w:t xml:space="preserve"> </w:t>
      </w:r>
      <w:r w:rsidRPr="00472503">
        <w:rPr>
          <w:spacing w:val="-1"/>
        </w:rPr>
        <w:t>policies</w:t>
      </w:r>
      <w:r w:rsidRPr="00472503">
        <w:rPr>
          <w:spacing w:val="29"/>
          <w:w w:val="99"/>
        </w:rPr>
        <w:t xml:space="preserve"> </w:t>
      </w:r>
      <w:r w:rsidRPr="00472503">
        <w:t>of</w:t>
      </w:r>
      <w:r w:rsidRPr="00472503">
        <w:rPr>
          <w:spacing w:val="15"/>
        </w:rPr>
        <w:t xml:space="preserve"> </w:t>
      </w:r>
      <w:r w:rsidRPr="00472503">
        <w:t>a</w:t>
      </w:r>
      <w:r w:rsidRPr="00472503">
        <w:rPr>
          <w:spacing w:val="16"/>
        </w:rPr>
        <w:t xml:space="preserve"> </w:t>
      </w:r>
      <w:r w:rsidRPr="00472503">
        <w:rPr>
          <w:spacing w:val="-1"/>
        </w:rPr>
        <w:t>person,</w:t>
      </w:r>
      <w:r w:rsidRPr="00472503">
        <w:rPr>
          <w:spacing w:val="15"/>
        </w:rPr>
        <w:t xml:space="preserve"> </w:t>
      </w:r>
      <w:r w:rsidRPr="00472503">
        <w:t>whether</w:t>
      </w:r>
      <w:r w:rsidRPr="00472503">
        <w:rPr>
          <w:spacing w:val="16"/>
        </w:rPr>
        <w:t xml:space="preserve"> </w:t>
      </w:r>
      <w:r w:rsidRPr="00472503">
        <w:t>through</w:t>
      </w:r>
      <w:r w:rsidRPr="00472503">
        <w:rPr>
          <w:spacing w:val="14"/>
        </w:rPr>
        <w:t xml:space="preserve"> </w:t>
      </w:r>
      <w:r w:rsidRPr="00472503">
        <w:t>the</w:t>
      </w:r>
      <w:r w:rsidRPr="00472503">
        <w:rPr>
          <w:spacing w:val="15"/>
        </w:rPr>
        <w:t xml:space="preserve"> </w:t>
      </w:r>
      <w:r w:rsidRPr="00472503">
        <w:t>ownership</w:t>
      </w:r>
      <w:r w:rsidRPr="00472503">
        <w:rPr>
          <w:spacing w:val="15"/>
        </w:rPr>
        <w:t xml:space="preserve"> </w:t>
      </w:r>
      <w:r w:rsidRPr="00472503">
        <w:t>of</w:t>
      </w:r>
      <w:r w:rsidRPr="00472503">
        <w:rPr>
          <w:spacing w:val="16"/>
        </w:rPr>
        <w:t xml:space="preserve"> </w:t>
      </w:r>
      <w:r w:rsidRPr="00472503">
        <w:t>voting</w:t>
      </w:r>
      <w:r w:rsidRPr="00472503">
        <w:rPr>
          <w:spacing w:val="14"/>
        </w:rPr>
        <w:t xml:space="preserve"> </w:t>
      </w:r>
      <w:r w:rsidRPr="00472503">
        <w:t>rights,</w:t>
      </w:r>
      <w:r w:rsidRPr="00472503">
        <w:rPr>
          <w:spacing w:val="16"/>
        </w:rPr>
        <w:t xml:space="preserve"> </w:t>
      </w:r>
      <w:r w:rsidRPr="00472503">
        <w:t>by</w:t>
      </w:r>
      <w:r w:rsidRPr="00472503">
        <w:rPr>
          <w:spacing w:val="15"/>
        </w:rPr>
        <w:t xml:space="preserve"> </w:t>
      </w:r>
      <w:r w:rsidRPr="00472503">
        <w:t>contract</w:t>
      </w:r>
      <w:r w:rsidRPr="00472503">
        <w:rPr>
          <w:spacing w:val="16"/>
        </w:rPr>
        <w:t xml:space="preserve"> </w:t>
      </w:r>
      <w:r w:rsidRPr="00472503">
        <w:rPr>
          <w:spacing w:val="-1"/>
        </w:rPr>
        <w:t>or</w:t>
      </w:r>
      <w:r w:rsidRPr="00472503">
        <w:rPr>
          <w:spacing w:val="27"/>
          <w:w w:val="99"/>
        </w:rPr>
        <w:t xml:space="preserve"> </w:t>
      </w:r>
      <w:r w:rsidRPr="00472503">
        <w:t>otherwise;</w:t>
      </w:r>
      <w:r w:rsidRPr="00472503">
        <w:rPr>
          <w:spacing w:val="10"/>
        </w:rPr>
        <w:t xml:space="preserve"> </w:t>
      </w:r>
      <w:r w:rsidRPr="00472503">
        <w:t>or</w:t>
      </w:r>
      <w:r w:rsidRPr="00472503">
        <w:rPr>
          <w:spacing w:val="10"/>
        </w:rPr>
        <w:t xml:space="preserve"> </w:t>
      </w:r>
      <w:r w:rsidRPr="00472503">
        <w:t>(ii)</w:t>
      </w:r>
      <w:r w:rsidRPr="00472503">
        <w:rPr>
          <w:spacing w:val="9"/>
        </w:rPr>
        <w:t xml:space="preserve"> </w:t>
      </w:r>
      <w:r w:rsidRPr="00472503">
        <w:t>the</w:t>
      </w:r>
      <w:r w:rsidRPr="00472503">
        <w:rPr>
          <w:spacing w:val="10"/>
        </w:rPr>
        <w:t xml:space="preserve"> </w:t>
      </w:r>
      <w:r w:rsidRPr="00472503">
        <w:t>ownership,</w:t>
      </w:r>
      <w:r w:rsidRPr="00472503">
        <w:rPr>
          <w:spacing w:val="10"/>
        </w:rPr>
        <w:t xml:space="preserve"> </w:t>
      </w:r>
      <w:r w:rsidRPr="00472503">
        <w:rPr>
          <w:spacing w:val="-1"/>
        </w:rPr>
        <w:t>directly</w:t>
      </w:r>
      <w:r w:rsidRPr="00472503">
        <w:rPr>
          <w:spacing w:val="10"/>
        </w:rPr>
        <w:t xml:space="preserve"> </w:t>
      </w:r>
      <w:r w:rsidRPr="00472503">
        <w:t>or</w:t>
      </w:r>
      <w:r w:rsidRPr="00472503">
        <w:rPr>
          <w:spacing w:val="9"/>
        </w:rPr>
        <w:t xml:space="preserve"> </w:t>
      </w:r>
      <w:r w:rsidRPr="00472503">
        <w:t>indirectly,</w:t>
      </w:r>
      <w:r w:rsidRPr="00472503">
        <w:rPr>
          <w:spacing w:val="11"/>
        </w:rPr>
        <w:t xml:space="preserve"> </w:t>
      </w:r>
      <w:r w:rsidRPr="00472503">
        <w:t>of</w:t>
      </w:r>
      <w:r w:rsidRPr="00472503">
        <w:rPr>
          <w:spacing w:val="9"/>
        </w:rPr>
        <w:t xml:space="preserve"> </w:t>
      </w:r>
      <w:r w:rsidRPr="00472503">
        <w:t>50</w:t>
      </w:r>
      <w:r w:rsidRPr="00472503">
        <w:rPr>
          <w:spacing w:val="11"/>
        </w:rPr>
        <w:t xml:space="preserve"> </w:t>
      </w:r>
      <w:r w:rsidRPr="00472503">
        <w:t>%</w:t>
      </w:r>
      <w:r w:rsidRPr="00472503">
        <w:rPr>
          <w:spacing w:val="10"/>
        </w:rPr>
        <w:t xml:space="preserve"> </w:t>
      </w:r>
      <w:r w:rsidRPr="00472503">
        <w:t>or</w:t>
      </w:r>
      <w:r w:rsidRPr="00472503">
        <w:rPr>
          <w:spacing w:val="10"/>
        </w:rPr>
        <w:t xml:space="preserve"> </w:t>
      </w:r>
      <w:r w:rsidRPr="00472503">
        <w:t>more</w:t>
      </w:r>
      <w:r w:rsidRPr="00472503">
        <w:rPr>
          <w:spacing w:val="12"/>
        </w:rPr>
        <w:t xml:space="preserve"> </w:t>
      </w:r>
      <w:r w:rsidRPr="00472503">
        <w:t>of</w:t>
      </w:r>
      <w:r w:rsidRPr="00472503">
        <w:rPr>
          <w:spacing w:val="9"/>
        </w:rPr>
        <w:t xml:space="preserve"> </w:t>
      </w:r>
      <w:r w:rsidRPr="00472503">
        <w:t>the</w:t>
      </w:r>
      <w:r w:rsidRPr="00472503">
        <w:rPr>
          <w:spacing w:val="10"/>
        </w:rPr>
        <w:t xml:space="preserve"> </w:t>
      </w:r>
      <w:r w:rsidRPr="00472503">
        <w:t>voting</w:t>
      </w:r>
      <w:r w:rsidRPr="00472503">
        <w:rPr>
          <w:spacing w:val="27"/>
          <w:w w:val="99"/>
        </w:rPr>
        <w:t xml:space="preserve"> </w:t>
      </w:r>
      <w:r w:rsidRPr="00472503">
        <w:t>rights</w:t>
      </w:r>
      <w:r w:rsidRPr="00472503">
        <w:rPr>
          <w:spacing w:val="-6"/>
        </w:rPr>
        <w:t xml:space="preserve"> </w:t>
      </w:r>
      <w:r w:rsidRPr="00472503">
        <w:t>or</w:t>
      </w:r>
      <w:r w:rsidRPr="00472503">
        <w:rPr>
          <w:spacing w:val="-6"/>
        </w:rPr>
        <w:t xml:space="preserve"> </w:t>
      </w:r>
      <w:r w:rsidRPr="00472503">
        <w:rPr>
          <w:spacing w:val="-1"/>
        </w:rPr>
        <w:t>other</w:t>
      </w:r>
      <w:r w:rsidRPr="00472503">
        <w:rPr>
          <w:spacing w:val="-6"/>
        </w:rPr>
        <w:t xml:space="preserve"> </w:t>
      </w:r>
      <w:r w:rsidRPr="00472503">
        <w:t>ownership</w:t>
      </w:r>
      <w:r w:rsidRPr="00472503">
        <w:rPr>
          <w:spacing w:val="-6"/>
        </w:rPr>
        <w:t xml:space="preserve"> </w:t>
      </w:r>
      <w:r w:rsidRPr="00472503">
        <w:t>interest</w:t>
      </w:r>
      <w:r w:rsidRPr="00472503">
        <w:rPr>
          <w:spacing w:val="-6"/>
        </w:rPr>
        <w:t xml:space="preserve"> </w:t>
      </w:r>
      <w:r w:rsidRPr="00472503">
        <w:t>of</w:t>
      </w:r>
      <w:r w:rsidRPr="00472503">
        <w:rPr>
          <w:spacing w:val="-7"/>
        </w:rPr>
        <w:t xml:space="preserve"> </w:t>
      </w:r>
      <w:r w:rsidRPr="00472503">
        <w:t>a</w:t>
      </w:r>
      <w:r w:rsidRPr="00472503">
        <w:rPr>
          <w:spacing w:val="-6"/>
        </w:rPr>
        <w:t xml:space="preserve"> </w:t>
      </w:r>
      <w:r w:rsidR="00A9084C">
        <w:t>legal entity</w:t>
      </w:r>
      <w:r w:rsidRPr="00472503">
        <w:t>.</w:t>
      </w:r>
    </w:p>
    <w:p w:rsidR="000F53F3" w:rsidRPr="00CF73CE" w:rsidRDefault="000F53F3" w:rsidP="000F53F3">
      <w:pPr>
        <w:tabs>
          <w:tab w:val="left" w:pos="0"/>
        </w:tabs>
        <w:rPr>
          <w:color w:val="0000FF"/>
        </w:rPr>
      </w:pPr>
      <w:r w:rsidRPr="00CB2F15">
        <w:rPr>
          <w:b/>
          <w:iCs/>
          <w:color w:val="000000"/>
          <w:lang w:eastAsia="fr-FR"/>
        </w:rPr>
        <w:t>CSR</w:t>
      </w:r>
      <w:r>
        <w:rPr>
          <w:b/>
          <w:iCs/>
          <w:color w:val="0000FF"/>
          <w:lang w:eastAsia="fr-FR"/>
        </w:rPr>
        <w:t>:</w:t>
      </w:r>
      <w:r w:rsidRPr="00CB2F15">
        <w:rPr>
          <w:b/>
          <w:iCs/>
          <w:color w:val="0000FF"/>
          <w:lang w:eastAsia="fr-FR"/>
        </w:rPr>
        <w:t xml:space="preserve"> </w:t>
      </w:r>
      <w:r w:rsidRPr="00CB2F15">
        <w:rPr>
          <w:color w:val="000000"/>
          <w:lang w:eastAsia="fr-FR"/>
        </w:rPr>
        <w:t>the Chapters 3 to 8 of</w:t>
      </w:r>
      <w:r w:rsidRPr="00472503">
        <w:rPr>
          <w:color w:val="000000"/>
        </w:rPr>
        <w:t xml:space="preserve"> the chemical safety report (</w:t>
      </w:r>
      <w:r>
        <w:rPr>
          <w:color w:val="000000"/>
        </w:rPr>
        <w:t>“</w:t>
      </w:r>
      <w:r w:rsidRPr="00A9084C">
        <w:rPr>
          <w:b/>
          <w:color w:val="000000"/>
        </w:rPr>
        <w:t>CSR</w:t>
      </w:r>
      <w:r>
        <w:rPr>
          <w:color w:val="000000"/>
        </w:rPr>
        <w:t>”</w:t>
      </w:r>
      <w:r w:rsidRPr="00472503">
        <w:rPr>
          <w:color w:val="000000"/>
        </w:rPr>
        <w:t xml:space="preserve">) that the Parties are required to submit under Article 14 of REACH, in the format specified in Annex I of REACH </w:t>
      </w:r>
      <w:r w:rsidRPr="00CB2F15">
        <w:rPr>
          <w:color w:val="000000"/>
          <w:lang w:eastAsia="fr-FR"/>
        </w:rPr>
        <w:t>that</w:t>
      </w:r>
      <w:r w:rsidRPr="00472503">
        <w:rPr>
          <w:color w:val="000000"/>
        </w:rPr>
        <w:t xml:space="preserve"> will be prepared outside the Joint Registration Dossier to cover the uses of the Lead Members and </w:t>
      </w:r>
      <w:r w:rsidRPr="00CB2F15">
        <w:rPr>
          <w:color w:val="000000"/>
          <w:lang w:eastAsia="fr-FR"/>
        </w:rPr>
        <w:t xml:space="preserve">that </w:t>
      </w:r>
      <w:r w:rsidRPr="00472503">
        <w:rPr>
          <w:color w:val="000000"/>
        </w:rPr>
        <w:t xml:space="preserve">will be made available by </w:t>
      </w:r>
      <w:r>
        <w:rPr>
          <w:color w:val="000000"/>
        </w:rPr>
        <w:t>the Lead Registrant to the Non-</w:t>
      </w:r>
      <w:r w:rsidRPr="00472503">
        <w:rPr>
          <w:color w:val="000000"/>
        </w:rPr>
        <w:t>Lead Member</w:t>
      </w:r>
      <w:r>
        <w:rPr>
          <w:color w:val="000000"/>
        </w:rPr>
        <w:t>, when applicable</w:t>
      </w:r>
      <w:r w:rsidRPr="00CB2F15">
        <w:rPr>
          <w:color w:val="000000"/>
          <w:lang w:eastAsia="fr-FR"/>
        </w:rPr>
        <w:t xml:space="preserve">. </w:t>
      </w:r>
    </w:p>
    <w:p w:rsidR="00994A7E" w:rsidRPr="00472503" w:rsidRDefault="00994A7E" w:rsidP="00472503">
      <w:pPr>
        <w:pStyle w:val="BodyText"/>
        <w:ind w:right="113"/>
      </w:pPr>
      <w:r w:rsidRPr="00472503">
        <w:rPr>
          <w:b/>
          <w:spacing w:val="-1"/>
        </w:rPr>
        <w:t>Data</w:t>
      </w:r>
      <w:r w:rsidRPr="00472503">
        <w:rPr>
          <w:b/>
          <w:spacing w:val="11"/>
        </w:rPr>
        <w:t xml:space="preserve"> </w:t>
      </w:r>
      <w:r w:rsidRPr="00472503">
        <w:rPr>
          <w:b/>
        </w:rPr>
        <w:t>Owner:</w:t>
      </w:r>
      <w:r w:rsidRPr="00472503">
        <w:rPr>
          <w:b/>
          <w:spacing w:val="11"/>
        </w:rPr>
        <w:t xml:space="preserve"> </w:t>
      </w:r>
      <w:r w:rsidRPr="00472503">
        <w:t>Any</w:t>
      </w:r>
      <w:r w:rsidRPr="00472503">
        <w:rPr>
          <w:spacing w:val="11"/>
        </w:rPr>
        <w:t xml:space="preserve"> </w:t>
      </w:r>
      <w:r w:rsidRPr="00472503">
        <w:t>entity</w:t>
      </w:r>
      <w:r w:rsidRPr="00472503">
        <w:rPr>
          <w:spacing w:val="12"/>
        </w:rPr>
        <w:t xml:space="preserve"> </w:t>
      </w:r>
      <w:r w:rsidRPr="00472503">
        <w:t>holding</w:t>
      </w:r>
      <w:r w:rsidRPr="00472503">
        <w:rPr>
          <w:spacing w:val="11"/>
        </w:rPr>
        <w:t xml:space="preserve"> </w:t>
      </w:r>
      <w:r w:rsidRPr="00472503">
        <w:t>rights</w:t>
      </w:r>
      <w:r w:rsidRPr="00472503">
        <w:rPr>
          <w:spacing w:val="11"/>
        </w:rPr>
        <w:t xml:space="preserve"> </w:t>
      </w:r>
      <w:r w:rsidRPr="00472503">
        <w:t>to</w:t>
      </w:r>
      <w:r w:rsidRPr="00472503">
        <w:rPr>
          <w:spacing w:val="12"/>
        </w:rPr>
        <w:t xml:space="preserve"> </w:t>
      </w:r>
      <w:r w:rsidRPr="00472503">
        <w:t>use</w:t>
      </w:r>
      <w:r w:rsidRPr="00472503">
        <w:rPr>
          <w:spacing w:val="11"/>
        </w:rPr>
        <w:t xml:space="preserve"> </w:t>
      </w:r>
      <w:r w:rsidR="00A9084C">
        <w:rPr>
          <w:spacing w:val="11"/>
        </w:rPr>
        <w:t xml:space="preserve">the </w:t>
      </w:r>
      <w:r w:rsidRPr="00472503">
        <w:t>Information</w:t>
      </w:r>
      <w:r w:rsidRPr="00472503">
        <w:rPr>
          <w:spacing w:val="11"/>
        </w:rPr>
        <w:t xml:space="preserve"> </w:t>
      </w:r>
      <w:r w:rsidRPr="00472503">
        <w:t>on</w:t>
      </w:r>
      <w:r w:rsidRPr="00472503">
        <w:rPr>
          <w:spacing w:val="12"/>
        </w:rPr>
        <w:t xml:space="preserve"> </w:t>
      </w:r>
      <w:r w:rsidRPr="00472503">
        <w:t>the</w:t>
      </w:r>
      <w:r w:rsidRPr="00472503">
        <w:rPr>
          <w:spacing w:val="11"/>
        </w:rPr>
        <w:t xml:space="preserve"> </w:t>
      </w:r>
      <w:r w:rsidRPr="00472503">
        <w:t>Substance,</w:t>
      </w:r>
      <w:r w:rsidRPr="00472503">
        <w:rPr>
          <w:spacing w:val="10"/>
        </w:rPr>
        <w:t xml:space="preserve"> </w:t>
      </w:r>
      <w:r w:rsidRPr="00472503">
        <w:t>either</w:t>
      </w:r>
      <w:r w:rsidRPr="00472503">
        <w:rPr>
          <w:spacing w:val="25"/>
          <w:w w:val="99"/>
        </w:rPr>
        <w:t xml:space="preserve"> </w:t>
      </w:r>
      <w:r w:rsidRPr="00472503">
        <w:t>as</w:t>
      </w:r>
      <w:r w:rsidRPr="00472503">
        <w:rPr>
          <w:spacing w:val="-6"/>
        </w:rPr>
        <w:t xml:space="preserve"> </w:t>
      </w:r>
      <w:r w:rsidRPr="00472503">
        <w:t>SIEF</w:t>
      </w:r>
      <w:r w:rsidRPr="00472503">
        <w:rPr>
          <w:spacing w:val="-7"/>
        </w:rPr>
        <w:t xml:space="preserve"> </w:t>
      </w:r>
      <w:r w:rsidRPr="00472503">
        <w:t>participant</w:t>
      </w:r>
      <w:r w:rsidRPr="00472503">
        <w:rPr>
          <w:spacing w:val="-5"/>
        </w:rPr>
        <w:t xml:space="preserve"> </w:t>
      </w:r>
      <w:r w:rsidRPr="00472503">
        <w:t>or</w:t>
      </w:r>
      <w:r w:rsidRPr="00472503">
        <w:rPr>
          <w:spacing w:val="-6"/>
        </w:rPr>
        <w:t xml:space="preserve"> </w:t>
      </w:r>
      <w:r w:rsidRPr="00472503">
        <w:rPr>
          <w:spacing w:val="-1"/>
        </w:rPr>
        <w:t>as</w:t>
      </w:r>
      <w:r w:rsidRPr="00472503">
        <w:rPr>
          <w:spacing w:val="-7"/>
        </w:rPr>
        <w:t xml:space="preserve"> </w:t>
      </w:r>
      <w:r w:rsidRPr="00472503">
        <w:t>non</w:t>
      </w:r>
      <w:r w:rsidRPr="00472503">
        <w:rPr>
          <w:spacing w:val="-6"/>
        </w:rPr>
        <w:t xml:space="preserve"> </w:t>
      </w:r>
      <w:r w:rsidRPr="00472503">
        <w:t>SIEF</w:t>
      </w:r>
      <w:r w:rsidRPr="00472503">
        <w:rPr>
          <w:spacing w:val="-6"/>
        </w:rPr>
        <w:t xml:space="preserve"> </w:t>
      </w:r>
      <w:r w:rsidRPr="00472503">
        <w:t>participant.</w:t>
      </w:r>
    </w:p>
    <w:p w:rsidR="00994A7E" w:rsidRPr="00472503" w:rsidRDefault="00994A7E" w:rsidP="00472503">
      <w:pPr>
        <w:pStyle w:val="BodyText"/>
        <w:ind w:right="113"/>
      </w:pPr>
      <w:r w:rsidRPr="00472503">
        <w:rPr>
          <w:b/>
        </w:rPr>
        <w:t>Information:</w:t>
      </w:r>
      <w:r w:rsidRPr="00472503">
        <w:rPr>
          <w:b/>
          <w:spacing w:val="3"/>
        </w:rPr>
        <w:t xml:space="preserve"> </w:t>
      </w:r>
      <w:r w:rsidRPr="00472503">
        <w:t>studies, other scientific, statistical, or technical data, including but not limited to composition, characteristics, properties and processes and applications, and any information in any form made available by a Party or generated by the Parties jointly, pursuant to or in the course of this Agreement.</w:t>
      </w:r>
    </w:p>
    <w:p w:rsidR="00994A7E" w:rsidRPr="00472503" w:rsidRDefault="00994A7E" w:rsidP="00472503">
      <w:pPr>
        <w:pStyle w:val="BodyText"/>
        <w:ind w:right="113"/>
      </w:pPr>
      <w:r w:rsidRPr="00472503">
        <w:rPr>
          <w:b/>
        </w:rPr>
        <w:t>Joint Registration</w:t>
      </w:r>
      <w:r w:rsidRPr="00472503">
        <w:rPr>
          <w:b/>
          <w:spacing w:val="1"/>
        </w:rPr>
        <w:t xml:space="preserve"> </w:t>
      </w:r>
      <w:r w:rsidRPr="00472503">
        <w:rPr>
          <w:b/>
        </w:rPr>
        <w:t>Dossier</w:t>
      </w:r>
      <w:r w:rsidRPr="00472503">
        <w:t xml:space="preserve">: The data that the Parties are required to submit jointly to the Agency in order to register the Substance, pursuant to Article 11 (1), paragraph 2 </w:t>
      </w:r>
      <w:r w:rsidRPr="005840E6">
        <w:t>and 4 or Art</w:t>
      </w:r>
      <w:r w:rsidR="00A9084C">
        <w:t>icle</w:t>
      </w:r>
      <w:r w:rsidRPr="005840E6">
        <w:t xml:space="preserve"> 19 (1) paragraph 2 of REACH.</w:t>
      </w:r>
    </w:p>
    <w:p w:rsidR="00994A7E" w:rsidRPr="005840E6" w:rsidRDefault="00994A7E" w:rsidP="00994A7E">
      <w:pPr>
        <w:rPr>
          <w:b/>
          <w:iCs/>
          <w:spacing w:val="-1"/>
        </w:rPr>
      </w:pPr>
      <w:r w:rsidRPr="005840E6">
        <w:rPr>
          <w:b/>
          <w:iCs/>
          <w:spacing w:val="-1"/>
        </w:rPr>
        <w:t xml:space="preserve">Only Representative: </w:t>
      </w:r>
      <w:r w:rsidRPr="005840E6">
        <w:rPr>
          <w:iCs/>
          <w:spacing w:val="-1"/>
        </w:rPr>
        <w:t xml:space="preserve">A natural or legal person established in the </w:t>
      </w:r>
      <w:r w:rsidR="00A9084C">
        <w:rPr>
          <w:iCs/>
          <w:spacing w:val="-1"/>
        </w:rPr>
        <w:t>European Union (“</w:t>
      </w:r>
      <w:r w:rsidRPr="00A9084C">
        <w:rPr>
          <w:b/>
          <w:iCs/>
          <w:spacing w:val="-1"/>
        </w:rPr>
        <w:t>EU</w:t>
      </w:r>
      <w:r w:rsidR="00A9084C">
        <w:rPr>
          <w:iCs/>
          <w:spacing w:val="-1"/>
        </w:rPr>
        <w:t>”)</w:t>
      </w:r>
      <w:r w:rsidRPr="005840E6">
        <w:rPr>
          <w:iCs/>
          <w:spacing w:val="-1"/>
        </w:rPr>
        <w:t xml:space="preserve"> appointed by a non-EU manufacturer to fulfil the obligations applicable to importers under REACH, as permitted by Article 8 of REACH.</w:t>
      </w:r>
      <w:r w:rsidRPr="005840E6">
        <w:rPr>
          <w:b/>
          <w:iCs/>
          <w:spacing w:val="-1"/>
        </w:rPr>
        <w:t xml:space="preserve"> </w:t>
      </w:r>
    </w:p>
    <w:p w:rsidR="00994A7E" w:rsidRPr="00472503" w:rsidRDefault="00994A7E" w:rsidP="00472503">
      <w:r w:rsidRPr="005840E6">
        <w:rPr>
          <w:b/>
          <w:spacing w:val="-1"/>
        </w:rPr>
        <w:t>Party/</w:t>
      </w:r>
      <w:r w:rsidRPr="00472503">
        <w:rPr>
          <w:b/>
          <w:spacing w:val="-1"/>
        </w:rPr>
        <w:t>Parties</w:t>
      </w:r>
      <w:r w:rsidRPr="00472503">
        <w:rPr>
          <w:spacing w:val="-1"/>
        </w:rPr>
        <w:t>:</w:t>
      </w:r>
      <w:r w:rsidRPr="00472503">
        <w:rPr>
          <w:spacing w:val="-12"/>
        </w:rPr>
        <w:t xml:space="preserve"> </w:t>
      </w:r>
      <w:r w:rsidRPr="00CF73CE">
        <w:rPr>
          <w:color w:val="000000"/>
        </w:rPr>
        <w:t>the signing parties to this Agreement, having the quality of either:</w:t>
      </w:r>
    </w:p>
    <w:p w:rsidR="00994A7E" w:rsidRPr="00D5000F" w:rsidRDefault="00994A7E" w:rsidP="00D5000F">
      <w:pPr>
        <w:pStyle w:val="ListParagraph"/>
      </w:pPr>
      <w:r w:rsidRPr="00D5000F">
        <w:rPr>
          <w:b/>
        </w:rPr>
        <w:t>Lead Member</w:t>
      </w:r>
      <w:r w:rsidRPr="00D5000F">
        <w:t xml:space="preserve">: a </w:t>
      </w:r>
      <w:r w:rsidRPr="00A3307D">
        <w:t>Member of the Joint Submission</w:t>
      </w:r>
      <w:r w:rsidRPr="00D5000F">
        <w:t xml:space="preserve"> who is subject to the registration requirements under REACH, who participates to the SIEF discussions in order to compile the Joint Registration Dossier.</w:t>
      </w:r>
      <w:r w:rsidRPr="00D5000F">
        <w:tab/>
      </w:r>
    </w:p>
    <w:p w:rsidR="00994A7E" w:rsidRPr="00D5000F" w:rsidRDefault="00994A7E" w:rsidP="00D5000F">
      <w:pPr>
        <w:pStyle w:val="ListParagraph"/>
      </w:pPr>
      <w:r w:rsidRPr="00D5000F">
        <w:rPr>
          <w:b/>
        </w:rPr>
        <w:t>Lead Registrant</w:t>
      </w:r>
      <w:r w:rsidRPr="00D5000F">
        <w:t xml:space="preserve">: a </w:t>
      </w:r>
      <w:r w:rsidRPr="00A3307D">
        <w:t>Member of the Joint Submission</w:t>
      </w:r>
      <w:r w:rsidRPr="00D5000F">
        <w:t xml:space="preserve"> who is subject to the registration requirements under REACH</w:t>
      </w:r>
      <w:r w:rsidRPr="00A3307D">
        <w:t xml:space="preserve"> </w:t>
      </w:r>
      <w:r w:rsidRPr="00D5000F">
        <w:t xml:space="preserve">, which </w:t>
      </w:r>
      <w:r w:rsidR="00A9084C">
        <w:t>is appointed</w:t>
      </w:r>
      <w:r w:rsidRPr="00D5000F">
        <w:t xml:space="preserve"> as Lead Registrant as defined under Article 11 (1) of </w:t>
      </w:r>
      <w:r w:rsidRPr="00A3307D">
        <w:t>REACH</w:t>
      </w:r>
      <w:r w:rsidR="00AD0816">
        <w:t xml:space="preserve"> on which the Non-Lead Member</w:t>
      </w:r>
      <w:r w:rsidR="00A9084C">
        <w:t xml:space="preserve"> agrees hereto</w:t>
      </w:r>
      <w:r w:rsidRPr="00A3307D">
        <w:t>.</w:t>
      </w:r>
      <w:r w:rsidRPr="00D5000F">
        <w:t xml:space="preserve"> </w:t>
      </w:r>
    </w:p>
    <w:p w:rsidR="00994A7E" w:rsidRPr="00CF73CE" w:rsidRDefault="00994A7E" w:rsidP="00D5000F">
      <w:pPr>
        <w:pStyle w:val="ListParagraph"/>
      </w:pPr>
      <w:r w:rsidRPr="00D5000F">
        <w:rPr>
          <w:b/>
        </w:rPr>
        <w:t>Non-Lead Member</w:t>
      </w:r>
      <w:r w:rsidRPr="00D5000F">
        <w:t xml:space="preserve">: a </w:t>
      </w:r>
      <w:r w:rsidRPr="00A3307D">
        <w:t>Member of the Joint Submission</w:t>
      </w:r>
      <w:r w:rsidRPr="00D5000F">
        <w:t xml:space="preserve"> </w:t>
      </w:r>
      <w:r w:rsidRPr="00CF73CE">
        <w:t>being neither a Lead Member nor a data holder (</w:t>
      </w:r>
      <w:r w:rsidR="00A9084C">
        <w:t>A</w:t>
      </w:r>
      <w:r w:rsidRPr="00A3307D">
        <w:t>rticle</w:t>
      </w:r>
      <w:r w:rsidRPr="00CF73CE">
        <w:t xml:space="preserve"> 28 (7) </w:t>
      </w:r>
      <w:r w:rsidRPr="00A3307D">
        <w:t xml:space="preserve">of </w:t>
      </w:r>
      <w:r w:rsidRPr="00CF73CE">
        <w:t xml:space="preserve">REACH) and that agrees to rely on the Joint Registration Dossier </w:t>
      </w:r>
      <w:r w:rsidR="00A9084C">
        <w:t>submitted</w:t>
      </w:r>
      <w:r w:rsidRPr="00CF73CE">
        <w:t xml:space="preserve"> by the Lead Registrant, on his own behalf, for its Affiliates, and/or on behalf of the represented potential registrants in case he is </w:t>
      </w:r>
      <w:r w:rsidRPr="00A3307D">
        <w:t>an Only Representative and/or a Third Party</w:t>
      </w:r>
      <w:r w:rsidRPr="00CF73CE">
        <w:t xml:space="preserve"> representative.</w:t>
      </w:r>
    </w:p>
    <w:p w:rsidR="00994A7E" w:rsidRPr="00D5000F" w:rsidRDefault="00994A7E" w:rsidP="00994A7E">
      <w:pPr>
        <w:tabs>
          <w:tab w:val="left" w:pos="851"/>
        </w:tabs>
        <w:ind w:left="851" w:hanging="851"/>
        <w:rPr>
          <w:b/>
          <w:i/>
          <w:color w:val="000000"/>
        </w:rPr>
      </w:pPr>
      <w:r w:rsidRPr="00D5000F">
        <w:rPr>
          <w:b/>
          <w:color w:val="000000"/>
        </w:rPr>
        <w:t xml:space="preserve">Substance: </w:t>
      </w:r>
      <w:r w:rsidRPr="00A9084C">
        <w:t>Formaldehyde, CAS 50-00-0</w:t>
      </w:r>
      <w:r w:rsidRPr="00A9084C">
        <w:rPr>
          <w:lang w:eastAsia="fr-FR"/>
        </w:rPr>
        <w:t>, EINECS 200-001-8</w:t>
      </w:r>
      <w:r w:rsidRPr="008E7264">
        <w:rPr>
          <w:color w:val="000000"/>
          <w:lang w:eastAsia="fr-FR"/>
        </w:rPr>
        <w:t>.</w:t>
      </w:r>
      <w:r w:rsidRPr="00D5000F">
        <w:rPr>
          <w:b/>
          <w:i/>
          <w:color w:val="000000"/>
        </w:rPr>
        <w:tab/>
      </w:r>
    </w:p>
    <w:p w:rsidR="00994A7E" w:rsidRPr="000F53F3" w:rsidRDefault="000F53F3" w:rsidP="00994A7E">
      <w:pPr>
        <w:spacing w:before="10"/>
        <w:rPr>
          <w:b/>
          <w:color w:val="000000"/>
        </w:rPr>
      </w:pPr>
      <w:r w:rsidRPr="000F53F3">
        <w:rPr>
          <w:b/>
          <w:color w:val="000000"/>
        </w:rPr>
        <w:t>Third Party Representative:</w:t>
      </w:r>
      <w:r w:rsidRPr="000F53F3">
        <w:rPr>
          <w:rFonts w:asciiTheme="minorHAnsi" w:hAnsiTheme="minorHAnsi" w:cstheme="minorHAnsi"/>
          <w:color w:val="000000"/>
          <w:lang w:eastAsia="fr-FR"/>
        </w:rPr>
        <w:t xml:space="preserve"> </w:t>
      </w:r>
      <w:r w:rsidRPr="000F53F3">
        <w:t>A natural or legal person appointed pursuant to Article 4 of REACH.</w:t>
      </w:r>
    </w:p>
    <w:p w:rsidR="0085006E" w:rsidRDefault="0085006E" w:rsidP="0085006E">
      <w:pPr>
        <w:pStyle w:val="Title"/>
        <w:spacing w:after="0"/>
        <w:rPr>
          <w:u w:color="000000"/>
        </w:rPr>
      </w:pPr>
      <w:bookmarkStart w:id="6" w:name="Title_I:_SIEF_OPERATING_RULES"/>
      <w:bookmarkEnd w:id="6"/>
    </w:p>
    <w:p w:rsidR="00994A7E" w:rsidRPr="00CB3EF0" w:rsidRDefault="00994A7E" w:rsidP="00D5000F">
      <w:pPr>
        <w:pStyle w:val="Title"/>
        <w:rPr>
          <w:u w:color="000000"/>
        </w:rPr>
      </w:pPr>
      <w:r w:rsidRPr="00D5000F">
        <w:rPr>
          <w:u w:color="000000"/>
        </w:rPr>
        <w:t>Title</w:t>
      </w:r>
      <w:r w:rsidRPr="00CB3EF0">
        <w:rPr>
          <w:u w:color="000000"/>
        </w:rPr>
        <w:t xml:space="preserve"> </w:t>
      </w:r>
      <w:r w:rsidRPr="00D5000F">
        <w:rPr>
          <w:u w:color="000000"/>
        </w:rPr>
        <w:t>I:</w:t>
      </w:r>
      <w:r w:rsidRPr="00CB3EF0">
        <w:rPr>
          <w:u w:color="000000"/>
        </w:rPr>
        <w:t xml:space="preserve"> </w:t>
      </w:r>
      <w:r w:rsidRPr="00D5000F">
        <w:rPr>
          <w:u w:color="000000"/>
        </w:rPr>
        <w:t>SIEF</w:t>
      </w:r>
      <w:r w:rsidRPr="00CB3EF0">
        <w:rPr>
          <w:u w:color="000000"/>
        </w:rPr>
        <w:t xml:space="preserve"> </w:t>
      </w:r>
      <w:r w:rsidRPr="00D5000F">
        <w:rPr>
          <w:u w:color="000000"/>
        </w:rPr>
        <w:t>OPERATING</w:t>
      </w:r>
      <w:r w:rsidRPr="00CB3EF0">
        <w:rPr>
          <w:u w:color="000000"/>
        </w:rPr>
        <w:t xml:space="preserve"> </w:t>
      </w:r>
      <w:r w:rsidRPr="00D5000F">
        <w:rPr>
          <w:u w:color="000000"/>
        </w:rPr>
        <w:t>RULES</w:t>
      </w:r>
    </w:p>
    <w:p w:rsidR="00994A7E" w:rsidRPr="00CF73CE" w:rsidRDefault="00994A7E" w:rsidP="00994A7E">
      <w:pPr>
        <w:pStyle w:val="Heading2"/>
      </w:pPr>
      <w:bookmarkStart w:id="7" w:name="Article_II._Confidentiality"/>
      <w:bookmarkStart w:id="8" w:name="_Toc225218088"/>
      <w:bookmarkStart w:id="9" w:name="_Ref6935833"/>
      <w:bookmarkStart w:id="10" w:name="_Ref6935844"/>
      <w:bookmarkStart w:id="11" w:name="_Ref6935853"/>
      <w:bookmarkEnd w:id="7"/>
      <w:r w:rsidRPr="00CF73CE">
        <w:t>Confidentiality</w:t>
      </w:r>
      <w:bookmarkEnd w:id="8"/>
      <w:bookmarkEnd w:id="9"/>
      <w:bookmarkEnd w:id="10"/>
      <w:bookmarkEnd w:id="11"/>
    </w:p>
    <w:p w:rsidR="00994A7E" w:rsidRPr="00D5000F" w:rsidRDefault="00994A7E" w:rsidP="00D5000F">
      <w:pPr>
        <w:pStyle w:val="Paragraph"/>
        <w:numPr>
          <w:ilvl w:val="1"/>
          <w:numId w:val="14"/>
        </w:numPr>
      </w:pPr>
      <w:bookmarkStart w:id="12" w:name="_Ref6935594"/>
      <w:r w:rsidRPr="00D5000F">
        <w:t>The Parties shall:</w:t>
      </w:r>
      <w:bookmarkEnd w:id="12"/>
    </w:p>
    <w:p w:rsidR="00994A7E" w:rsidRPr="00D5000F" w:rsidRDefault="00994A7E" w:rsidP="00D5000F">
      <w:pPr>
        <w:pStyle w:val="ListParagraph"/>
        <w:numPr>
          <w:ilvl w:val="0"/>
          <w:numId w:val="22"/>
        </w:numPr>
      </w:pPr>
      <w:r w:rsidRPr="00D5000F">
        <w:t xml:space="preserve">treat all Information as confidential and not disclose it to third parties, unless regulatory disclosure requirements apply. Each Party shall advise immediately the other Parties in writing of any disclosure or misuse by any Party or a third party of </w:t>
      </w:r>
      <w:r w:rsidR="000F53F3">
        <w:t xml:space="preserve">the </w:t>
      </w:r>
      <w:r w:rsidRPr="00D5000F">
        <w:t>Information, as well as of any request by competent authorities relating to the disclosure of that Information.</w:t>
      </w:r>
    </w:p>
    <w:p w:rsidR="00994A7E" w:rsidRPr="00D5000F" w:rsidRDefault="00994A7E" w:rsidP="00D5000F">
      <w:pPr>
        <w:ind w:left="1077"/>
      </w:pPr>
      <w:r w:rsidRPr="00D5000F">
        <w:t>Disclosure</w:t>
      </w:r>
      <w:r w:rsidRPr="000075C4">
        <w:t xml:space="preserve"> </w:t>
      </w:r>
      <w:r w:rsidRPr="00D5000F">
        <w:t>of</w:t>
      </w:r>
      <w:r w:rsidRPr="000075C4">
        <w:t xml:space="preserve"> </w:t>
      </w:r>
      <w:r w:rsidR="000F53F3" w:rsidRPr="000075C4">
        <w:t xml:space="preserve">the </w:t>
      </w:r>
      <w:r w:rsidRPr="00D5000F">
        <w:t>Information</w:t>
      </w:r>
      <w:r w:rsidRPr="000075C4">
        <w:t xml:space="preserve"> </w:t>
      </w:r>
      <w:r w:rsidRPr="00D5000F">
        <w:t>as</w:t>
      </w:r>
      <w:r w:rsidRPr="000075C4">
        <w:t xml:space="preserve"> </w:t>
      </w:r>
      <w:r w:rsidRPr="00D5000F">
        <w:t>required</w:t>
      </w:r>
      <w:r w:rsidRPr="00D5000F">
        <w:rPr>
          <w:spacing w:val="23"/>
        </w:rPr>
        <w:t xml:space="preserve"> </w:t>
      </w:r>
      <w:r w:rsidRPr="00D5000F">
        <w:t>for</w:t>
      </w:r>
      <w:r w:rsidRPr="00D5000F">
        <w:rPr>
          <w:spacing w:val="23"/>
        </w:rPr>
        <w:t xml:space="preserve"> </w:t>
      </w:r>
      <w:r w:rsidRPr="00D5000F">
        <w:t>legal</w:t>
      </w:r>
      <w:r w:rsidRPr="00D5000F">
        <w:rPr>
          <w:spacing w:val="23"/>
        </w:rPr>
        <w:t xml:space="preserve"> </w:t>
      </w:r>
      <w:r w:rsidRPr="00D5000F">
        <w:t>and/or</w:t>
      </w:r>
      <w:r w:rsidRPr="00D5000F">
        <w:rPr>
          <w:spacing w:val="23"/>
        </w:rPr>
        <w:t xml:space="preserve"> </w:t>
      </w:r>
      <w:r w:rsidRPr="00D5000F">
        <w:t>regulatory</w:t>
      </w:r>
      <w:r w:rsidRPr="00D5000F">
        <w:rPr>
          <w:spacing w:val="23"/>
        </w:rPr>
        <w:t xml:space="preserve"> </w:t>
      </w:r>
      <w:r w:rsidRPr="00D5000F">
        <w:t>purposes</w:t>
      </w:r>
      <w:r w:rsidRPr="00D5000F">
        <w:rPr>
          <w:spacing w:val="23"/>
        </w:rPr>
        <w:t xml:space="preserve"> </w:t>
      </w:r>
      <w:r w:rsidRPr="00D5000F">
        <w:t>including</w:t>
      </w:r>
      <w:r w:rsidRPr="00D5000F">
        <w:rPr>
          <w:w w:val="99"/>
        </w:rPr>
        <w:t xml:space="preserve"> </w:t>
      </w:r>
      <w:r w:rsidRPr="00D5000F">
        <w:t>REACH,</w:t>
      </w:r>
      <w:r w:rsidRPr="00D5000F">
        <w:rPr>
          <w:spacing w:val="23"/>
        </w:rPr>
        <w:t xml:space="preserve"> </w:t>
      </w:r>
      <w:r w:rsidRPr="00D5000F">
        <w:t>shall</w:t>
      </w:r>
      <w:r w:rsidRPr="00D5000F">
        <w:rPr>
          <w:spacing w:val="24"/>
        </w:rPr>
        <w:t xml:space="preserve"> </w:t>
      </w:r>
      <w:r w:rsidRPr="00D5000F">
        <w:rPr>
          <w:spacing w:val="-1"/>
        </w:rPr>
        <w:t>only</w:t>
      </w:r>
      <w:r w:rsidRPr="00D5000F">
        <w:rPr>
          <w:spacing w:val="24"/>
        </w:rPr>
        <w:t xml:space="preserve"> </w:t>
      </w:r>
      <w:r w:rsidRPr="00D5000F">
        <w:t>take</w:t>
      </w:r>
      <w:r w:rsidRPr="00D5000F">
        <w:rPr>
          <w:spacing w:val="24"/>
        </w:rPr>
        <w:t xml:space="preserve"> </w:t>
      </w:r>
      <w:r w:rsidRPr="00D5000F">
        <w:t>place</w:t>
      </w:r>
      <w:r w:rsidRPr="00D5000F">
        <w:rPr>
          <w:spacing w:val="22"/>
        </w:rPr>
        <w:t xml:space="preserve"> </w:t>
      </w:r>
      <w:r w:rsidRPr="00D5000F">
        <w:rPr>
          <w:spacing w:val="-1"/>
        </w:rPr>
        <w:t>by</w:t>
      </w:r>
      <w:r w:rsidRPr="00D5000F">
        <w:rPr>
          <w:spacing w:val="23"/>
        </w:rPr>
        <w:t xml:space="preserve"> </w:t>
      </w:r>
      <w:r w:rsidRPr="00D5000F">
        <w:t>the</w:t>
      </w:r>
      <w:r w:rsidRPr="00D5000F">
        <w:rPr>
          <w:spacing w:val="24"/>
        </w:rPr>
        <w:t xml:space="preserve"> </w:t>
      </w:r>
      <w:r w:rsidRPr="00D5000F">
        <w:t>Parties</w:t>
      </w:r>
      <w:r w:rsidRPr="00D5000F">
        <w:rPr>
          <w:spacing w:val="24"/>
        </w:rPr>
        <w:t xml:space="preserve"> </w:t>
      </w:r>
      <w:r w:rsidRPr="00D5000F">
        <w:t>in</w:t>
      </w:r>
      <w:r w:rsidRPr="00D5000F">
        <w:rPr>
          <w:spacing w:val="24"/>
        </w:rPr>
        <w:t xml:space="preserve"> </w:t>
      </w:r>
      <w:r w:rsidRPr="00D5000F">
        <w:t>a</w:t>
      </w:r>
      <w:r w:rsidRPr="00D5000F">
        <w:rPr>
          <w:spacing w:val="24"/>
        </w:rPr>
        <w:t xml:space="preserve"> </w:t>
      </w:r>
      <w:r w:rsidRPr="00D5000F">
        <w:t>form</w:t>
      </w:r>
      <w:r w:rsidRPr="00D5000F">
        <w:rPr>
          <w:spacing w:val="23"/>
        </w:rPr>
        <w:t xml:space="preserve"> </w:t>
      </w:r>
      <w:r w:rsidRPr="00D5000F">
        <w:t>(for</w:t>
      </w:r>
      <w:r w:rsidRPr="00D5000F">
        <w:rPr>
          <w:spacing w:val="24"/>
        </w:rPr>
        <w:t xml:space="preserve"> </w:t>
      </w:r>
      <w:r w:rsidRPr="00D5000F">
        <w:t>example</w:t>
      </w:r>
      <w:r w:rsidRPr="00D5000F">
        <w:rPr>
          <w:spacing w:val="25"/>
          <w:w w:val="99"/>
        </w:rPr>
        <w:t xml:space="preserve"> </w:t>
      </w:r>
      <w:r w:rsidRPr="00D5000F">
        <w:t>short</w:t>
      </w:r>
      <w:r w:rsidRPr="00D5000F">
        <w:rPr>
          <w:spacing w:val="22"/>
        </w:rPr>
        <w:t xml:space="preserve"> </w:t>
      </w:r>
      <w:r w:rsidRPr="00D5000F">
        <w:t>summaries</w:t>
      </w:r>
      <w:r w:rsidRPr="00D5000F">
        <w:rPr>
          <w:spacing w:val="22"/>
        </w:rPr>
        <w:t xml:space="preserve"> </w:t>
      </w:r>
      <w:r w:rsidRPr="00D5000F">
        <w:t>where</w:t>
      </w:r>
      <w:r w:rsidRPr="00D5000F">
        <w:rPr>
          <w:spacing w:val="22"/>
        </w:rPr>
        <w:t xml:space="preserve"> </w:t>
      </w:r>
      <w:r w:rsidRPr="00D5000F">
        <w:t>possible)</w:t>
      </w:r>
      <w:r w:rsidRPr="00D5000F">
        <w:rPr>
          <w:spacing w:val="22"/>
        </w:rPr>
        <w:t xml:space="preserve"> </w:t>
      </w:r>
      <w:r w:rsidRPr="00D5000F">
        <w:rPr>
          <w:spacing w:val="-1"/>
        </w:rPr>
        <w:t>reflecting</w:t>
      </w:r>
      <w:r w:rsidRPr="00D5000F">
        <w:rPr>
          <w:spacing w:val="22"/>
        </w:rPr>
        <w:t xml:space="preserve"> </w:t>
      </w:r>
      <w:r w:rsidRPr="00D5000F">
        <w:t>the</w:t>
      </w:r>
      <w:r w:rsidRPr="00D5000F">
        <w:rPr>
          <w:spacing w:val="21"/>
        </w:rPr>
        <w:t xml:space="preserve"> </w:t>
      </w:r>
      <w:r w:rsidRPr="00D5000F">
        <w:t>minimum</w:t>
      </w:r>
      <w:r w:rsidRPr="00D5000F">
        <w:rPr>
          <w:spacing w:val="22"/>
        </w:rPr>
        <w:t xml:space="preserve"> </w:t>
      </w:r>
      <w:r w:rsidRPr="00D5000F">
        <w:t>information</w:t>
      </w:r>
      <w:r w:rsidRPr="00D5000F">
        <w:rPr>
          <w:spacing w:val="22"/>
        </w:rPr>
        <w:t xml:space="preserve"> </w:t>
      </w:r>
      <w:r w:rsidRPr="00D5000F">
        <w:t>required</w:t>
      </w:r>
      <w:r w:rsidRPr="00D5000F">
        <w:rPr>
          <w:spacing w:val="22"/>
        </w:rPr>
        <w:t xml:space="preserve"> </w:t>
      </w:r>
      <w:r w:rsidRPr="00D5000F">
        <w:t>to</w:t>
      </w:r>
      <w:r w:rsidRPr="00D5000F">
        <w:rPr>
          <w:spacing w:val="22"/>
        </w:rPr>
        <w:t xml:space="preserve"> </w:t>
      </w:r>
      <w:r w:rsidRPr="00D5000F">
        <w:t>be</w:t>
      </w:r>
      <w:r w:rsidRPr="00D5000F">
        <w:rPr>
          <w:spacing w:val="20"/>
          <w:w w:val="99"/>
        </w:rPr>
        <w:t xml:space="preserve"> </w:t>
      </w:r>
      <w:r w:rsidRPr="00D5000F">
        <w:rPr>
          <w:spacing w:val="-1"/>
        </w:rPr>
        <w:t>disclosed.</w:t>
      </w:r>
      <w:r w:rsidRPr="00D5000F">
        <w:rPr>
          <w:spacing w:val="21"/>
        </w:rPr>
        <w:t xml:space="preserve"> </w:t>
      </w:r>
      <w:r w:rsidRPr="00D5000F">
        <w:t>This</w:t>
      </w:r>
      <w:r w:rsidRPr="00D5000F">
        <w:rPr>
          <w:spacing w:val="22"/>
        </w:rPr>
        <w:t xml:space="preserve"> </w:t>
      </w:r>
      <w:r w:rsidRPr="00D5000F">
        <w:rPr>
          <w:spacing w:val="-1"/>
        </w:rPr>
        <w:t>restriction</w:t>
      </w:r>
      <w:r w:rsidRPr="00D5000F">
        <w:rPr>
          <w:spacing w:val="23"/>
        </w:rPr>
        <w:t xml:space="preserve"> </w:t>
      </w:r>
      <w:r w:rsidRPr="00D5000F">
        <w:t>does</w:t>
      </w:r>
      <w:r w:rsidRPr="00D5000F">
        <w:rPr>
          <w:spacing w:val="22"/>
        </w:rPr>
        <w:t xml:space="preserve"> </w:t>
      </w:r>
      <w:r w:rsidRPr="00D5000F">
        <w:rPr>
          <w:spacing w:val="-1"/>
        </w:rPr>
        <w:t>not</w:t>
      </w:r>
      <w:r w:rsidRPr="00D5000F">
        <w:rPr>
          <w:spacing w:val="23"/>
        </w:rPr>
        <w:t xml:space="preserve"> </w:t>
      </w:r>
      <w:r w:rsidRPr="00D5000F">
        <w:t>apply</w:t>
      </w:r>
      <w:r w:rsidRPr="00D5000F">
        <w:rPr>
          <w:spacing w:val="22"/>
        </w:rPr>
        <w:t xml:space="preserve"> </w:t>
      </w:r>
      <w:r w:rsidRPr="00D5000F">
        <w:t>to</w:t>
      </w:r>
      <w:r w:rsidRPr="00D5000F">
        <w:rPr>
          <w:spacing w:val="22"/>
        </w:rPr>
        <w:t xml:space="preserve"> </w:t>
      </w:r>
      <w:r w:rsidRPr="00D5000F">
        <w:t>the</w:t>
      </w:r>
      <w:r w:rsidRPr="00D5000F">
        <w:rPr>
          <w:spacing w:val="22"/>
        </w:rPr>
        <w:t xml:space="preserve"> </w:t>
      </w:r>
      <w:r w:rsidRPr="00D5000F">
        <w:t>Party</w:t>
      </w:r>
      <w:r w:rsidRPr="00D5000F">
        <w:rPr>
          <w:spacing w:val="23"/>
        </w:rPr>
        <w:t xml:space="preserve"> </w:t>
      </w:r>
      <w:r w:rsidRPr="00D5000F">
        <w:t>who</w:t>
      </w:r>
      <w:r w:rsidRPr="00D5000F">
        <w:rPr>
          <w:spacing w:val="22"/>
        </w:rPr>
        <w:t xml:space="preserve"> </w:t>
      </w:r>
      <w:r w:rsidRPr="00D5000F">
        <w:t>has</w:t>
      </w:r>
      <w:r w:rsidRPr="00D5000F">
        <w:rPr>
          <w:spacing w:val="22"/>
        </w:rPr>
        <w:t xml:space="preserve"> </w:t>
      </w:r>
      <w:r w:rsidRPr="00D5000F">
        <w:t>provided</w:t>
      </w:r>
      <w:r w:rsidRPr="00D5000F">
        <w:rPr>
          <w:spacing w:val="22"/>
        </w:rPr>
        <w:t xml:space="preserve"> </w:t>
      </w:r>
      <w:r w:rsidRPr="00D5000F">
        <w:t>the</w:t>
      </w:r>
      <w:r w:rsidRPr="00D5000F">
        <w:rPr>
          <w:spacing w:val="37"/>
          <w:w w:val="99"/>
        </w:rPr>
        <w:t xml:space="preserve"> </w:t>
      </w:r>
      <w:r w:rsidRPr="00D5000F">
        <w:t>Information.</w:t>
      </w:r>
    </w:p>
    <w:p w:rsidR="00994A7E" w:rsidRPr="00D5000F" w:rsidRDefault="00994A7E" w:rsidP="00D5000F">
      <w:pPr>
        <w:pStyle w:val="ListParagraph"/>
      </w:pPr>
      <w:r w:rsidRPr="00D5000F">
        <w:t>use the Information only for the Purpose or otherwise as permitted under or in accordance with this Agreement.</w:t>
      </w:r>
    </w:p>
    <w:p w:rsidR="00994A7E" w:rsidRPr="00D5000F" w:rsidRDefault="00994A7E" w:rsidP="00D5000F">
      <w:pPr>
        <w:pStyle w:val="ListParagraph"/>
        <w:numPr>
          <w:ilvl w:val="0"/>
          <w:numId w:val="0"/>
        </w:numPr>
        <w:ind w:left="1077"/>
      </w:pPr>
    </w:p>
    <w:p w:rsidR="00994A7E" w:rsidRPr="00D5000F" w:rsidRDefault="00994A7E" w:rsidP="00D5000F">
      <w:pPr>
        <w:pStyle w:val="ListParagraph"/>
      </w:pPr>
      <w:r w:rsidRPr="00D5000F">
        <w:t xml:space="preserve">disclose the Information to their employees, Affiliates, external experts and/or consultants and if the Non-Lead Member is an </w:t>
      </w:r>
      <w:r w:rsidRPr="00A3307D">
        <w:t>Only Representative or a Third Party Representative</w:t>
      </w:r>
      <w:r w:rsidRPr="00D5000F">
        <w:t xml:space="preserve">, the non-EU manufacturer(s) or the legal entity(ies) represented by any of them, only on a need to know basis and only to the extent absolutely necessary for the Purpose or otherwise as permitted under or in accordance with this Agreement. Each Party shall have in place policies and procedures to ensure the confidentiality of </w:t>
      </w:r>
      <w:r w:rsidR="000F53F3">
        <w:t xml:space="preserve">the </w:t>
      </w:r>
      <w:r w:rsidRPr="00D5000F">
        <w:t>Information, and require that its external experts and/or consultants also have such policies and procedures in place to ensure their compliance with these confidentiality obligations.</w:t>
      </w:r>
    </w:p>
    <w:p w:rsidR="00994A7E" w:rsidRPr="00D5000F" w:rsidRDefault="00994A7E" w:rsidP="00D5000F">
      <w:pPr>
        <w:pStyle w:val="Paragraph"/>
        <w:numPr>
          <w:ilvl w:val="1"/>
          <w:numId w:val="14"/>
        </w:numPr>
      </w:pPr>
      <w:r w:rsidRPr="00D5000F">
        <w:t xml:space="preserve">The obligations specified in </w:t>
      </w:r>
      <w:r>
        <w:fldChar w:fldCharType="begin"/>
      </w:r>
      <w:r>
        <w:instrText xml:space="preserve"> REF _Ref6935594 \r \h </w:instrText>
      </w:r>
      <w:r>
        <w:fldChar w:fldCharType="separate"/>
      </w:r>
      <w:r>
        <w:t>II.1</w:t>
      </w:r>
      <w:r>
        <w:fldChar w:fldCharType="end"/>
      </w:r>
      <w:r w:rsidRPr="00D5000F">
        <w:t xml:space="preserve"> above shall not apply to </w:t>
      </w:r>
      <w:r w:rsidR="000F53F3">
        <w:t xml:space="preserve">the </w:t>
      </w:r>
      <w:r w:rsidRPr="00D5000F">
        <w:t>Information for which the receiving Party can reasonably demonstrate that such Information:</w:t>
      </w:r>
    </w:p>
    <w:p w:rsidR="00994A7E" w:rsidRPr="00D5000F" w:rsidRDefault="00994A7E" w:rsidP="00D5000F">
      <w:pPr>
        <w:pStyle w:val="ListParagraph"/>
        <w:numPr>
          <w:ilvl w:val="0"/>
          <w:numId w:val="21"/>
        </w:numPr>
      </w:pPr>
      <w:r w:rsidRPr="00D5000F">
        <w:t>was known to the receiving Party on a non-confidential basis prior to its disclosure pursuant to this Agreement;</w:t>
      </w:r>
      <w:r w:rsidR="00A61966">
        <w:rPr>
          <w:color w:val="000000"/>
        </w:rPr>
        <w:t xml:space="preserve"> or</w:t>
      </w:r>
    </w:p>
    <w:p w:rsidR="00994A7E" w:rsidRPr="00D5000F" w:rsidRDefault="00994A7E" w:rsidP="00D5000F">
      <w:pPr>
        <w:pStyle w:val="ListParagraph"/>
      </w:pPr>
      <w:r w:rsidRPr="00D5000F">
        <w:t>is publicly known at the time of disclosure or thereafter becomes publicly known without breach of the terms of this Agreement on the part of the receiving Party;</w:t>
      </w:r>
      <w:r w:rsidR="00A61966">
        <w:t xml:space="preserve"> or</w:t>
      </w:r>
    </w:p>
    <w:p w:rsidR="00994A7E" w:rsidRPr="00D5000F" w:rsidRDefault="00994A7E" w:rsidP="00D5000F">
      <w:pPr>
        <w:pStyle w:val="ListParagraph"/>
      </w:pPr>
      <w:r w:rsidRPr="00D5000F">
        <w:t>becomes known to the receiving Party through disclosure by sources other than the disclosing Party, having a right to disclose such Information,</w:t>
      </w:r>
      <w:r w:rsidR="008C4C39">
        <w:t xml:space="preserve"> </w:t>
      </w:r>
      <w:r w:rsidR="00A61966">
        <w:rPr>
          <w:color w:val="000000"/>
        </w:rPr>
        <w:t>or</w:t>
      </w:r>
    </w:p>
    <w:p w:rsidR="00994A7E" w:rsidRPr="008C4C39" w:rsidRDefault="00994A7E" w:rsidP="00D5000F">
      <w:pPr>
        <w:pStyle w:val="ListParagraph"/>
      </w:pPr>
      <w:r w:rsidRPr="00D5000F">
        <w:t xml:space="preserve">was independently developed by </w:t>
      </w:r>
      <w:r w:rsidRPr="00D5000F">
        <w:rPr>
          <w:color w:val="000000"/>
        </w:rPr>
        <w:t>the receiving Party without access to the disclosing Party’s Information, as evidenced by documentary records</w:t>
      </w:r>
      <w:r w:rsidRPr="00A3307D">
        <w:t>.</w:t>
      </w:r>
    </w:p>
    <w:p w:rsidR="00994A7E" w:rsidRPr="007E7E70" w:rsidRDefault="00994A7E" w:rsidP="008C4C39">
      <w:pPr>
        <w:pStyle w:val="BodyText"/>
        <w:ind w:left="576" w:right="113"/>
        <w:rPr>
          <w:szCs w:val="22"/>
        </w:rPr>
      </w:pPr>
      <w:r w:rsidRPr="007E7E70">
        <w:rPr>
          <w:szCs w:val="22"/>
        </w:rPr>
        <w:t xml:space="preserve">Specific items of </w:t>
      </w:r>
      <w:r w:rsidR="000F53F3" w:rsidRPr="007E7E70">
        <w:rPr>
          <w:szCs w:val="22"/>
        </w:rPr>
        <w:t xml:space="preserve">the </w:t>
      </w:r>
      <w:r w:rsidRPr="007E7E70">
        <w:rPr>
          <w:szCs w:val="22"/>
        </w:rPr>
        <w:t xml:space="preserve">Information shall not fall within any exception merely because they are combined with more general Information falling within any exception. Likewise, any combination of specific items of </w:t>
      </w:r>
      <w:r w:rsidR="000F53F3" w:rsidRPr="007E7E70">
        <w:rPr>
          <w:szCs w:val="22"/>
        </w:rPr>
        <w:t xml:space="preserve">the </w:t>
      </w:r>
      <w:r w:rsidRPr="007E7E70">
        <w:rPr>
          <w:szCs w:val="22"/>
        </w:rPr>
        <w:t>Information shall not fall within any exception merely because the specific items fall within any exception, but only if the combination itself, and its principles of operation, fall within any exception.</w:t>
      </w:r>
    </w:p>
    <w:p w:rsidR="00994A7E" w:rsidRPr="005840E6" w:rsidRDefault="00994A7E" w:rsidP="00994A7E">
      <w:pPr>
        <w:pStyle w:val="Paragraph"/>
        <w:numPr>
          <w:ilvl w:val="1"/>
          <w:numId w:val="14"/>
        </w:numPr>
      </w:pPr>
      <w:r w:rsidRPr="003A73F6">
        <w:t xml:space="preserve">With regard to studies, the obligations specified in this </w:t>
      </w:r>
      <w:r w:rsidRPr="00CF73CE">
        <w:t xml:space="preserve">Article </w:t>
      </w:r>
      <w:r w:rsidRPr="003A73F6">
        <w:t xml:space="preserve">shall remain in effect </w:t>
      </w:r>
      <w:r w:rsidRPr="005840E6">
        <w:t>for</w:t>
      </w:r>
      <w:r w:rsidRPr="003A73F6">
        <w:t xml:space="preserve"> </w:t>
      </w:r>
      <w:r w:rsidRPr="005840E6">
        <w:t>a</w:t>
      </w:r>
      <w:r w:rsidRPr="003A73F6">
        <w:t xml:space="preserve"> </w:t>
      </w:r>
      <w:r w:rsidRPr="005840E6">
        <w:t>period</w:t>
      </w:r>
      <w:r w:rsidRPr="003A73F6">
        <w:t xml:space="preserve"> </w:t>
      </w:r>
      <w:r w:rsidRPr="005840E6">
        <w:t>of</w:t>
      </w:r>
      <w:r w:rsidRPr="003A73F6">
        <w:t xml:space="preserve"> </w:t>
      </w:r>
      <w:r w:rsidRPr="005840E6">
        <w:t>twelve</w:t>
      </w:r>
      <w:r>
        <w:t xml:space="preserve"> (12)</w:t>
      </w:r>
      <w:r w:rsidRPr="003A73F6">
        <w:t xml:space="preserve"> </w:t>
      </w:r>
      <w:r w:rsidRPr="005840E6">
        <w:t>years</w:t>
      </w:r>
      <w:r w:rsidRPr="003A73F6">
        <w:t xml:space="preserve"> </w:t>
      </w:r>
      <w:r w:rsidRPr="005840E6">
        <w:t>following</w:t>
      </w:r>
      <w:r w:rsidRPr="003A73F6">
        <w:t xml:space="preserve"> </w:t>
      </w:r>
      <w:r w:rsidRPr="005840E6">
        <w:t>the</w:t>
      </w:r>
      <w:r w:rsidRPr="003A73F6">
        <w:t xml:space="preserve"> </w:t>
      </w:r>
      <w:r w:rsidRPr="005840E6">
        <w:t>initial</w:t>
      </w:r>
      <w:r w:rsidRPr="003A73F6">
        <w:t xml:space="preserve"> </w:t>
      </w:r>
      <w:r w:rsidRPr="005840E6">
        <w:t>submission</w:t>
      </w:r>
      <w:r w:rsidRPr="003A73F6">
        <w:t xml:space="preserve"> </w:t>
      </w:r>
      <w:r w:rsidRPr="005840E6">
        <w:t>to</w:t>
      </w:r>
      <w:r w:rsidRPr="003A73F6">
        <w:t xml:space="preserve"> </w:t>
      </w:r>
      <w:r w:rsidRPr="005840E6">
        <w:t>the</w:t>
      </w:r>
      <w:r w:rsidRPr="003A73F6">
        <w:t xml:space="preserve"> </w:t>
      </w:r>
      <w:r w:rsidRPr="005840E6">
        <w:t>Agency.</w:t>
      </w:r>
      <w:r w:rsidRPr="003A73F6">
        <w:t xml:space="preserve"> </w:t>
      </w:r>
    </w:p>
    <w:p w:rsidR="00994A7E" w:rsidRPr="00CF73CE" w:rsidRDefault="00994A7E" w:rsidP="00994A7E">
      <w:pPr>
        <w:pStyle w:val="Heading2"/>
      </w:pPr>
      <w:bookmarkStart w:id="13" w:name="Article_III._Competition_Law_compliance"/>
      <w:bookmarkStart w:id="14" w:name="_Ref6935520"/>
      <w:bookmarkEnd w:id="13"/>
      <w:r w:rsidRPr="00CF73CE">
        <w:t>Competition Law compliance</w:t>
      </w:r>
      <w:bookmarkEnd w:id="14"/>
    </w:p>
    <w:p w:rsidR="00994A7E" w:rsidRPr="008C4C39" w:rsidRDefault="00994A7E" w:rsidP="008C4C39">
      <w:pPr>
        <w:pStyle w:val="Paragraph"/>
        <w:numPr>
          <w:ilvl w:val="1"/>
          <w:numId w:val="14"/>
        </w:numPr>
      </w:pPr>
      <w:r w:rsidRPr="008C4C39">
        <w:t>The</w:t>
      </w:r>
      <w:r w:rsidRPr="008C4C39">
        <w:rPr>
          <w:spacing w:val="20"/>
        </w:rPr>
        <w:t xml:space="preserve"> </w:t>
      </w:r>
      <w:r w:rsidRPr="008C4C39">
        <w:t>Parties</w:t>
      </w:r>
      <w:r w:rsidRPr="008C4C39">
        <w:rPr>
          <w:spacing w:val="21"/>
        </w:rPr>
        <w:t xml:space="preserve"> </w:t>
      </w:r>
      <w:r w:rsidRPr="008C4C39">
        <w:t>acknowledge</w:t>
      </w:r>
      <w:r w:rsidRPr="008C4C39">
        <w:rPr>
          <w:spacing w:val="22"/>
        </w:rPr>
        <w:t xml:space="preserve"> </w:t>
      </w:r>
      <w:r w:rsidRPr="008C4C39">
        <w:t>that</w:t>
      </w:r>
      <w:r w:rsidRPr="008C4C39">
        <w:rPr>
          <w:spacing w:val="20"/>
        </w:rPr>
        <w:t xml:space="preserve"> </w:t>
      </w:r>
      <w:r w:rsidRPr="008C4C39">
        <w:t>any</w:t>
      </w:r>
      <w:r w:rsidRPr="008C4C39">
        <w:rPr>
          <w:spacing w:val="21"/>
        </w:rPr>
        <w:t xml:space="preserve"> </w:t>
      </w:r>
      <w:r w:rsidRPr="008C4C39">
        <w:t>activities</w:t>
      </w:r>
      <w:r w:rsidRPr="008C4C39">
        <w:rPr>
          <w:spacing w:val="21"/>
        </w:rPr>
        <w:t xml:space="preserve"> </w:t>
      </w:r>
      <w:r w:rsidRPr="008C4C39">
        <w:t>carried</w:t>
      </w:r>
      <w:r w:rsidRPr="008C4C39">
        <w:rPr>
          <w:spacing w:val="21"/>
        </w:rPr>
        <w:t xml:space="preserve"> </w:t>
      </w:r>
      <w:r w:rsidRPr="008C4C39">
        <w:t>out</w:t>
      </w:r>
      <w:r w:rsidRPr="008C4C39">
        <w:rPr>
          <w:spacing w:val="21"/>
        </w:rPr>
        <w:t xml:space="preserve"> </w:t>
      </w:r>
      <w:r w:rsidRPr="008C4C39">
        <w:t>under</w:t>
      </w:r>
      <w:r w:rsidRPr="008C4C39">
        <w:rPr>
          <w:spacing w:val="21"/>
        </w:rPr>
        <w:t xml:space="preserve"> </w:t>
      </w:r>
      <w:r w:rsidRPr="008C4C39">
        <w:t>this Agreement</w:t>
      </w:r>
      <w:r w:rsidRPr="008C4C39">
        <w:rPr>
          <w:spacing w:val="21"/>
          <w:w w:val="99"/>
        </w:rPr>
        <w:t xml:space="preserve"> </w:t>
      </w:r>
      <w:r w:rsidRPr="008C4C39">
        <w:t>have</w:t>
      </w:r>
      <w:r w:rsidRPr="008C4C39">
        <w:rPr>
          <w:spacing w:val="1"/>
        </w:rPr>
        <w:t xml:space="preserve"> </w:t>
      </w:r>
      <w:r w:rsidRPr="008C4C39">
        <w:t>to</w:t>
      </w:r>
      <w:r w:rsidRPr="008C4C39">
        <w:rPr>
          <w:spacing w:val="1"/>
        </w:rPr>
        <w:t xml:space="preserve"> </w:t>
      </w:r>
      <w:r w:rsidRPr="008C4C39">
        <w:t>be</w:t>
      </w:r>
      <w:r w:rsidRPr="008C4C39">
        <w:rPr>
          <w:spacing w:val="2"/>
        </w:rPr>
        <w:t xml:space="preserve"> </w:t>
      </w:r>
      <w:r w:rsidRPr="008C4C39">
        <w:t>carried</w:t>
      </w:r>
      <w:r w:rsidRPr="008C4C39">
        <w:rPr>
          <w:spacing w:val="1"/>
        </w:rPr>
        <w:t xml:space="preserve"> </w:t>
      </w:r>
      <w:r w:rsidRPr="008C4C39">
        <w:t>out</w:t>
      </w:r>
      <w:r w:rsidRPr="008C4C39">
        <w:rPr>
          <w:spacing w:val="2"/>
        </w:rPr>
        <w:t xml:space="preserve"> </w:t>
      </w:r>
      <w:r w:rsidRPr="008C4C39">
        <w:t>in</w:t>
      </w:r>
      <w:r w:rsidRPr="008C4C39">
        <w:rPr>
          <w:spacing w:val="1"/>
        </w:rPr>
        <w:t xml:space="preserve"> </w:t>
      </w:r>
      <w:r w:rsidRPr="008C4C39">
        <w:t>full</w:t>
      </w:r>
      <w:r w:rsidRPr="008C4C39">
        <w:rPr>
          <w:spacing w:val="1"/>
        </w:rPr>
        <w:t xml:space="preserve"> </w:t>
      </w:r>
      <w:r w:rsidRPr="008C4C39">
        <w:t>compliance</w:t>
      </w:r>
      <w:r w:rsidRPr="008C4C39">
        <w:rPr>
          <w:spacing w:val="2"/>
        </w:rPr>
        <w:t xml:space="preserve"> </w:t>
      </w:r>
      <w:r w:rsidRPr="008C4C39">
        <w:t>with</w:t>
      </w:r>
      <w:r w:rsidRPr="008C4C39">
        <w:rPr>
          <w:spacing w:val="1"/>
        </w:rPr>
        <w:t xml:space="preserve"> </w:t>
      </w:r>
      <w:r w:rsidRPr="008C4C39">
        <w:t>EU</w:t>
      </w:r>
      <w:r w:rsidRPr="008C4C39">
        <w:rPr>
          <w:spacing w:val="1"/>
        </w:rPr>
        <w:t xml:space="preserve"> </w:t>
      </w:r>
      <w:r w:rsidRPr="008C4C39">
        <w:t>competition</w:t>
      </w:r>
      <w:r w:rsidRPr="008C4C39">
        <w:rPr>
          <w:spacing w:val="1"/>
        </w:rPr>
        <w:t xml:space="preserve"> </w:t>
      </w:r>
      <w:r w:rsidRPr="008C4C39">
        <w:t>law,</w:t>
      </w:r>
      <w:r w:rsidRPr="008C4C39">
        <w:rPr>
          <w:spacing w:val="2"/>
        </w:rPr>
        <w:t xml:space="preserve"> </w:t>
      </w:r>
      <w:r w:rsidRPr="008C4C39">
        <w:t>in</w:t>
      </w:r>
      <w:r w:rsidRPr="008C4C39">
        <w:rPr>
          <w:spacing w:val="1"/>
        </w:rPr>
        <w:t xml:space="preserve"> </w:t>
      </w:r>
      <w:r w:rsidRPr="008C4C39">
        <w:t>particular</w:t>
      </w:r>
      <w:r w:rsidRPr="008C4C39">
        <w:rPr>
          <w:spacing w:val="1"/>
        </w:rPr>
        <w:t xml:space="preserve"> </w:t>
      </w:r>
      <w:r w:rsidRPr="008C4C39">
        <w:t>but</w:t>
      </w:r>
      <w:r w:rsidRPr="008C4C39">
        <w:rPr>
          <w:spacing w:val="1"/>
        </w:rPr>
        <w:t xml:space="preserve"> </w:t>
      </w:r>
      <w:r w:rsidRPr="008C4C39">
        <w:t>not</w:t>
      </w:r>
      <w:r w:rsidRPr="008C4C39">
        <w:rPr>
          <w:spacing w:val="2"/>
        </w:rPr>
        <w:t xml:space="preserve"> </w:t>
      </w:r>
      <w:r w:rsidRPr="008C4C39">
        <w:t>limited</w:t>
      </w:r>
      <w:r w:rsidRPr="008C4C39">
        <w:rPr>
          <w:spacing w:val="21"/>
          <w:w w:val="99"/>
        </w:rPr>
        <w:t xml:space="preserve"> </w:t>
      </w:r>
      <w:r w:rsidRPr="008C4C39">
        <w:t>to</w:t>
      </w:r>
      <w:r w:rsidRPr="008C4C39">
        <w:rPr>
          <w:spacing w:val="9"/>
        </w:rPr>
        <w:t xml:space="preserve"> </w:t>
      </w:r>
      <w:r w:rsidRPr="008C4C39">
        <w:t>Articles</w:t>
      </w:r>
      <w:r w:rsidRPr="008C4C39">
        <w:rPr>
          <w:spacing w:val="9"/>
        </w:rPr>
        <w:t xml:space="preserve"> </w:t>
      </w:r>
      <w:r w:rsidRPr="008C4C39">
        <w:rPr>
          <w:spacing w:val="-1"/>
        </w:rPr>
        <w:t>101</w:t>
      </w:r>
      <w:r w:rsidRPr="008C4C39">
        <w:rPr>
          <w:spacing w:val="9"/>
        </w:rPr>
        <w:t xml:space="preserve"> </w:t>
      </w:r>
      <w:r w:rsidRPr="008C4C39">
        <w:t>and</w:t>
      </w:r>
      <w:r w:rsidRPr="008C4C39">
        <w:rPr>
          <w:spacing w:val="9"/>
        </w:rPr>
        <w:t xml:space="preserve"> </w:t>
      </w:r>
      <w:r w:rsidRPr="008C4C39">
        <w:t>102</w:t>
      </w:r>
      <w:r w:rsidRPr="008C4C39">
        <w:rPr>
          <w:spacing w:val="9"/>
        </w:rPr>
        <w:t xml:space="preserve"> </w:t>
      </w:r>
      <w:r w:rsidRPr="008C4C39">
        <w:t>TFEU</w:t>
      </w:r>
      <w:r w:rsidRPr="008C4C39">
        <w:rPr>
          <w:spacing w:val="9"/>
        </w:rPr>
        <w:t xml:space="preserve"> </w:t>
      </w:r>
      <w:r w:rsidRPr="008C4C39">
        <w:t>as</w:t>
      </w:r>
      <w:r w:rsidRPr="008C4C39">
        <w:rPr>
          <w:spacing w:val="9"/>
        </w:rPr>
        <w:t xml:space="preserve"> </w:t>
      </w:r>
      <w:r w:rsidRPr="008C4C39">
        <w:t>well</w:t>
      </w:r>
      <w:r w:rsidRPr="008C4C39">
        <w:rPr>
          <w:spacing w:val="10"/>
        </w:rPr>
        <w:t xml:space="preserve"> </w:t>
      </w:r>
      <w:r w:rsidRPr="008C4C39">
        <w:t>as</w:t>
      </w:r>
      <w:r w:rsidRPr="008C4C39">
        <w:rPr>
          <w:spacing w:val="9"/>
        </w:rPr>
        <w:t xml:space="preserve"> </w:t>
      </w:r>
      <w:r w:rsidRPr="008C4C39">
        <w:t>any</w:t>
      </w:r>
      <w:r w:rsidRPr="008C4C39">
        <w:rPr>
          <w:spacing w:val="10"/>
        </w:rPr>
        <w:t xml:space="preserve"> </w:t>
      </w:r>
      <w:r w:rsidRPr="008C4C39">
        <w:rPr>
          <w:spacing w:val="-1"/>
        </w:rPr>
        <w:t>applicable</w:t>
      </w:r>
      <w:r w:rsidRPr="008C4C39">
        <w:rPr>
          <w:spacing w:val="10"/>
        </w:rPr>
        <w:t xml:space="preserve"> </w:t>
      </w:r>
      <w:r w:rsidRPr="008C4C39">
        <w:rPr>
          <w:spacing w:val="-1"/>
        </w:rPr>
        <w:t>national</w:t>
      </w:r>
      <w:r w:rsidRPr="008C4C39">
        <w:rPr>
          <w:spacing w:val="9"/>
        </w:rPr>
        <w:t xml:space="preserve"> </w:t>
      </w:r>
      <w:r w:rsidRPr="008C4C39">
        <w:t>laws.</w:t>
      </w:r>
      <w:r w:rsidRPr="008C4C39">
        <w:rPr>
          <w:spacing w:val="9"/>
        </w:rPr>
        <w:t xml:space="preserve"> </w:t>
      </w:r>
      <w:r w:rsidRPr="008C4C39">
        <w:t>The</w:t>
      </w:r>
      <w:r w:rsidRPr="008C4C39">
        <w:rPr>
          <w:spacing w:val="9"/>
        </w:rPr>
        <w:t xml:space="preserve"> </w:t>
      </w:r>
      <w:r w:rsidRPr="008C4C39">
        <w:t>Parties</w:t>
      </w:r>
      <w:r w:rsidRPr="008C4C39">
        <w:rPr>
          <w:spacing w:val="8"/>
        </w:rPr>
        <w:t xml:space="preserve"> </w:t>
      </w:r>
      <w:r w:rsidRPr="008C4C39">
        <w:t>explicitly</w:t>
      </w:r>
      <w:r w:rsidRPr="008C4C39">
        <w:rPr>
          <w:spacing w:val="31"/>
          <w:w w:val="99"/>
        </w:rPr>
        <w:t xml:space="preserve"> </w:t>
      </w:r>
      <w:r w:rsidRPr="008C4C39">
        <w:t>agree</w:t>
      </w:r>
      <w:r w:rsidRPr="008C4C39">
        <w:rPr>
          <w:spacing w:val="22"/>
        </w:rPr>
        <w:t xml:space="preserve"> </w:t>
      </w:r>
      <w:r w:rsidRPr="008C4C39">
        <w:t>to</w:t>
      </w:r>
      <w:r w:rsidRPr="008C4C39">
        <w:rPr>
          <w:spacing w:val="22"/>
        </w:rPr>
        <w:t xml:space="preserve"> </w:t>
      </w:r>
      <w:r w:rsidRPr="008C4C39">
        <w:t>observe</w:t>
      </w:r>
      <w:r w:rsidRPr="008C4C39">
        <w:rPr>
          <w:spacing w:val="23"/>
        </w:rPr>
        <w:t xml:space="preserve"> </w:t>
      </w:r>
      <w:r w:rsidRPr="008C4C39">
        <w:t>Cefic</w:t>
      </w:r>
      <w:r w:rsidRPr="008C4C39">
        <w:rPr>
          <w:spacing w:val="21"/>
        </w:rPr>
        <w:t xml:space="preserve"> </w:t>
      </w:r>
      <w:r w:rsidRPr="008C4C39">
        <w:t>REACH</w:t>
      </w:r>
      <w:r w:rsidRPr="008C4C39">
        <w:rPr>
          <w:spacing w:val="24"/>
        </w:rPr>
        <w:t xml:space="preserve"> </w:t>
      </w:r>
      <w:r w:rsidRPr="005840E6">
        <w:t>competition</w:t>
      </w:r>
      <w:r w:rsidRPr="00042508">
        <w:rPr>
          <w:spacing w:val="22"/>
        </w:rPr>
        <w:t xml:space="preserve"> </w:t>
      </w:r>
      <w:r w:rsidRPr="005840E6">
        <w:t>law</w:t>
      </w:r>
      <w:r w:rsidRPr="008C4C39">
        <w:rPr>
          <w:spacing w:val="22"/>
        </w:rPr>
        <w:t xml:space="preserve"> </w:t>
      </w:r>
      <w:r w:rsidRPr="008C4C39">
        <w:t>compliance</w:t>
      </w:r>
      <w:r w:rsidRPr="008C4C39">
        <w:rPr>
          <w:spacing w:val="23"/>
        </w:rPr>
        <w:t xml:space="preserve"> </w:t>
      </w:r>
      <w:r w:rsidRPr="008C4C39">
        <w:t>guidance</w:t>
      </w:r>
      <w:r w:rsidRPr="008C4C39">
        <w:rPr>
          <w:w w:val="99"/>
        </w:rPr>
        <w:t xml:space="preserve"> </w:t>
      </w:r>
      <w:r w:rsidRPr="008C4C39">
        <w:rPr>
          <w:spacing w:val="1"/>
        </w:rPr>
        <w:t>attached as Annex 1 to this Agreement.</w:t>
      </w:r>
    </w:p>
    <w:p w:rsidR="00994A7E" w:rsidRPr="008627F7" w:rsidRDefault="00994A7E" w:rsidP="008627F7">
      <w:pPr>
        <w:pStyle w:val="Paragraph"/>
        <w:numPr>
          <w:ilvl w:val="1"/>
          <w:numId w:val="14"/>
        </w:numPr>
      </w:pPr>
      <w:r w:rsidRPr="008C4C39">
        <w:t>Should</w:t>
      </w:r>
      <w:r w:rsidRPr="008627F7">
        <w:rPr>
          <w:spacing w:val="24"/>
        </w:rPr>
        <w:t xml:space="preserve"> </w:t>
      </w:r>
      <w:r w:rsidRPr="008627F7">
        <w:t>it</w:t>
      </w:r>
      <w:r w:rsidRPr="008627F7">
        <w:rPr>
          <w:spacing w:val="24"/>
        </w:rPr>
        <w:t xml:space="preserve"> </w:t>
      </w:r>
      <w:r w:rsidRPr="008627F7">
        <w:t>become</w:t>
      </w:r>
      <w:r w:rsidRPr="008627F7">
        <w:rPr>
          <w:spacing w:val="25"/>
        </w:rPr>
        <w:t xml:space="preserve"> </w:t>
      </w:r>
      <w:r w:rsidRPr="008627F7">
        <w:t>apparent</w:t>
      </w:r>
      <w:r w:rsidRPr="008627F7">
        <w:rPr>
          <w:spacing w:val="24"/>
        </w:rPr>
        <w:t xml:space="preserve"> </w:t>
      </w:r>
      <w:r w:rsidRPr="008627F7">
        <w:t>at</w:t>
      </w:r>
      <w:r w:rsidRPr="008627F7">
        <w:rPr>
          <w:spacing w:val="24"/>
        </w:rPr>
        <w:t xml:space="preserve"> </w:t>
      </w:r>
      <w:r w:rsidRPr="008627F7">
        <w:t>any</w:t>
      </w:r>
      <w:r w:rsidRPr="008627F7">
        <w:rPr>
          <w:spacing w:val="25"/>
        </w:rPr>
        <w:t xml:space="preserve"> </w:t>
      </w:r>
      <w:r w:rsidRPr="008627F7">
        <w:t>time</w:t>
      </w:r>
      <w:r w:rsidRPr="008627F7">
        <w:rPr>
          <w:spacing w:val="24"/>
        </w:rPr>
        <w:t xml:space="preserve"> </w:t>
      </w:r>
      <w:r w:rsidRPr="008627F7">
        <w:t>that</w:t>
      </w:r>
      <w:r w:rsidRPr="008627F7">
        <w:rPr>
          <w:spacing w:val="25"/>
        </w:rPr>
        <w:t xml:space="preserve"> </w:t>
      </w:r>
      <w:r w:rsidRPr="008627F7">
        <w:t>any</w:t>
      </w:r>
      <w:r w:rsidRPr="008627F7">
        <w:rPr>
          <w:spacing w:val="24"/>
        </w:rPr>
        <w:t xml:space="preserve"> </w:t>
      </w:r>
      <w:r w:rsidRPr="008627F7">
        <w:t>provision</w:t>
      </w:r>
      <w:r w:rsidRPr="008627F7">
        <w:rPr>
          <w:spacing w:val="24"/>
        </w:rPr>
        <w:t xml:space="preserve"> </w:t>
      </w:r>
      <w:r w:rsidRPr="008627F7">
        <w:t>of</w:t>
      </w:r>
      <w:r w:rsidRPr="008627F7">
        <w:rPr>
          <w:w w:val="99"/>
        </w:rPr>
        <w:t xml:space="preserve"> </w:t>
      </w:r>
      <w:r w:rsidRPr="008627F7">
        <w:t>this</w:t>
      </w:r>
      <w:r w:rsidRPr="008627F7">
        <w:rPr>
          <w:spacing w:val="21"/>
        </w:rPr>
        <w:t xml:space="preserve"> </w:t>
      </w:r>
      <w:r w:rsidRPr="008627F7">
        <w:t>Agreement</w:t>
      </w:r>
      <w:r w:rsidRPr="008627F7">
        <w:rPr>
          <w:spacing w:val="-1"/>
        </w:rPr>
        <w:t>,</w:t>
      </w:r>
      <w:r w:rsidRPr="008627F7">
        <w:rPr>
          <w:spacing w:val="23"/>
        </w:rPr>
        <w:t xml:space="preserve"> </w:t>
      </w:r>
      <w:r w:rsidRPr="008627F7">
        <w:t>or</w:t>
      </w:r>
      <w:r w:rsidRPr="008627F7">
        <w:rPr>
          <w:spacing w:val="22"/>
        </w:rPr>
        <w:t xml:space="preserve"> </w:t>
      </w:r>
      <w:r w:rsidRPr="008627F7">
        <w:t>any</w:t>
      </w:r>
      <w:r w:rsidRPr="008627F7">
        <w:rPr>
          <w:spacing w:val="23"/>
        </w:rPr>
        <w:t xml:space="preserve"> </w:t>
      </w:r>
      <w:r w:rsidRPr="008627F7">
        <w:t>activity</w:t>
      </w:r>
      <w:r w:rsidRPr="008627F7">
        <w:rPr>
          <w:spacing w:val="22"/>
        </w:rPr>
        <w:t xml:space="preserve"> </w:t>
      </w:r>
      <w:r w:rsidRPr="008627F7">
        <w:t>or</w:t>
      </w:r>
      <w:r w:rsidRPr="008627F7">
        <w:rPr>
          <w:spacing w:val="23"/>
        </w:rPr>
        <w:t xml:space="preserve"> </w:t>
      </w:r>
      <w:r w:rsidRPr="008627F7">
        <w:t>decision</w:t>
      </w:r>
      <w:r w:rsidRPr="008627F7">
        <w:rPr>
          <w:spacing w:val="23"/>
        </w:rPr>
        <w:t xml:space="preserve"> </w:t>
      </w:r>
      <w:r w:rsidRPr="008627F7">
        <w:t>of</w:t>
      </w:r>
      <w:r w:rsidRPr="008627F7">
        <w:rPr>
          <w:spacing w:val="21"/>
        </w:rPr>
        <w:t xml:space="preserve"> </w:t>
      </w:r>
      <w:r w:rsidRPr="008627F7">
        <w:rPr>
          <w:spacing w:val="-1"/>
        </w:rPr>
        <w:t>the</w:t>
      </w:r>
      <w:r w:rsidRPr="008627F7">
        <w:rPr>
          <w:spacing w:val="23"/>
        </w:rPr>
        <w:t xml:space="preserve"> </w:t>
      </w:r>
      <w:r w:rsidRPr="008627F7">
        <w:t>Parties,</w:t>
      </w:r>
      <w:r w:rsidRPr="008627F7">
        <w:rPr>
          <w:spacing w:val="21"/>
        </w:rPr>
        <w:t xml:space="preserve"> </w:t>
      </w:r>
      <w:r w:rsidRPr="008627F7">
        <w:t>can</w:t>
      </w:r>
      <w:r w:rsidRPr="008627F7">
        <w:rPr>
          <w:spacing w:val="22"/>
        </w:rPr>
        <w:t xml:space="preserve"> </w:t>
      </w:r>
      <w:r w:rsidRPr="008627F7">
        <w:t>have</w:t>
      </w:r>
      <w:r w:rsidRPr="008627F7">
        <w:rPr>
          <w:spacing w:val="23"/>
        </w:rPr>
        <w:t xml:space="preserve"> </w:t>
      </w:r>
      <w:r w:rsidRPr="008627F7">
        <w:t>a</w:t>
      </w:r>
      <w:r w:rsidRPr="008627F7">
        <w:rPr>
          <w:spacing w:val="23"/>
        </w:rPr>
        <w:t xml:space="preserve"> </w:t>
      </w:r>
      <w:r w:rsidRPr="008627F7">
        <w:t>potentially</w:t>
      </w:r>
      <w:r w:rsidRPr="008627F7">
        <w:rPr>
          <w:spacing w:val="24"/>
          <w:w w:val="99"/>
        </w:rPr>
        <w:t xml:space="preserve"> </w:t>
      </w:r>
      <w:r w:rsidRPr="008627F7">
        <w:t>restrictive</w:t>
      </w:r>
      <w:r w:rsidRPr="008627F7">
        <w:rPr>
          <w:spacing w:val="37"/>
        </w:rPr>
        <w:t xml:space="preserve"> </w:t>
      </w:r>
      <w:r w:rsidRPr="008627F7">
        <w:rPr>
          <w:spacing w:val="-1"/>
        </w:rPr>
        <w:t>effect</w:t>
      </w:r>
      <w:r w:rsidRPr="008627F7">
        <w:rPr>
          <w:spacing w:val="37"/>
        </w:rPr>
        <w:t xml:space="preserve"> </w:t>
      </w:r>
      <w:r w:rsidRPr="008627F7">
        <w:t>on</w:t>
      </w:r>
      <w:r w:rsidRPr="008627F7">
        <w:rPr>
          <w:spacing w:val="38"/>
        </w:rPr>
        <w:t xml:space="preserve"> </w:t>
      </w:r>
      <w:r w:rsidRPr="008627F7">
        <w:rPr>
          <w:spacing w:val="-1"/>
        </w:rPr>
        <w:t>open</w:t>
      </w:r>
      <w:r w:rsidRPr="008627F7">
        <w:rPr>
          <w:spacing w:val="37"/>
        </w:rPr>
        <w:t xml:space="preserve"> </w:t>
      </w:r>
      <w:r w:rsidRPr="008627F7">
        <w:t>and</w:t>
      </w:r>
      <w:r w:rsidRPr="008627F7">
        <w:rPr>
          <w:spacing w:val="37"/>
        </w:rPr>
        <w:t xml:space="preserve"> </w:t>
      </w:r>
      <w:r w:rsidRPr="008627F7">
        <w:t>fair</w:t>
      </w:r>
      <w:r w:rsidRPr="008627F7">
        <w:rPr>
          <w:spacing w:val="37"/>
        </w:rPr>
        <w:t xml:space="preserve"> </w:t>
      </w:r>
      <w:r w:rsidRPr="008627F7">
        <w:rPr>
          <w:spacing w:val="-1"/>
        </w:rPr>
        <w:t>competition,</w:t>
      </w:r>
      <w:r w:rsidRPr="008627F7">
        <w:rPr>
          <w:spacing w:val="37"/>
        </w:rPr>
        <w:t xml:space="preserve"> </w:t>
      </w:r>
      <w:r w:rsidRPr="008627F7">
        <w:t>in</w:t>
      </w:r>
      <w:r w:rsidRPr="008627F7">
        <w:rPr>
          <w:spacing w:val="38"/>
        </w:rPr>
        <w:t xml:space="preserve"> </w:t>
      </w:r>
      <w:r w:rsidRPr="008627F7">
        <w:t>breach</w:t>
      </w:r>
      <w:r w:rsidRPr="008627F7">
        <w:rPr>
          <w:spacing w:val="37"/>
        </w:rPr>
        <w:t xml:space="preserve"> </w:t>
      </w:r>
      <w:r w:rsidRPr="008627F7">
        <w:t>of</w:t>
      </w:r>
      <w:r w:rsidRPr="008627F7">
        <w:rPr>
          <w:spacing w:val="37"/>
        </w:rPr>
        <w:t xml:space="preserve"> </w:t>
      </w:r>
      <w:r w:rsidRPr="008627F7">
        <w:t>any</w:t>
      </w:r>
      <w:r w:rsidRPr="008627F7">
        <w:rPr>
          <w:spacing w:val="38"/>
        </w:rPr>
        <w:t xml:space="preserve"> </w:t>
      </w:r>
      <w:r w:rsidRPr="008627F7">
        <w:rPr>
          <w:spacing w:val="-1"/>
        </w:rPr>
        <w:t>statutory</w:t>
      </w:r>
      <w:r w:rsidRPr="008627F7">
        <w:rPr>
          <w:spacing w:val="38"/>
        </w:rPr>
        <w:t xml:space="preserve"> </w:t>
      </w:r>
      <w:r w:rsidRPr="008627F7">
        <w:t>provision,</w:t>
      </w:r>
      <w:r w:rsidRPr="008627F7">
        <w:rPr>
          <w:spacing w:val="38"/>
        </w:rPr>
        <w:t xml:space="preserve"> </w:t>
      </w:r>
      <w:r w:rsidRPr="008627F7">
        <w:rPr>
          <w:spacing w:val="-1"/>
        </w:rPr>
        <w:t>each</w:t>
      </w:r>
      <w:r w:rsidRPr="008627F7">
        <w:rPr>
          <w:spacing w:val="59"/>
          <w:w w:val="99"/>
        </w:rPr>
        <w:t xml:space="preserve"> </w:t>
      </w:r>
      <w:r w:rsidRPr="008627F7">
        <w:t>Party</w:t>
      </w:r>
      <w:r w:rsidRPr="008627F7">
        <w:rPr>
          <w:spacing w:val="-7"/>
        </w:rPr>
        <w:t xml:space="preserve"> </w:t>
      </w:r>
      <w:r w:rsidRPr="008627F7">
        <w:t>to</w:t>
      </w:r>
      <w:r w:rsidRPr="008627F7">
        <w:rPr>
          <w:spacing w:val="-6"/>
        </w:rPr>
        <w:t xml:space="preserve"> </w:t>
      </w:r>
      <w:r w:rsidRPr="008627F7">
        <w:t>this</w:t>
      </w:r>
      <w:r w:rsidRPr="008627F7">
        <w:rPr>
          <w:spacing w:val="-6"/>
        </w:rPr>
        <w:t xml:space="preserve"> </w:t>
      </w:r>
      <w:r w:rsidRPr="005840E6">
        <w:t>agreement</w:t>
      </w:r>
      <w:r w:rsidRPr="008627F7">
        <w:rPr>
          <w:spacing w:val="-6"/>
        </w:rPr>
        <w:t xml:space="preserve"> </w:t>
      </w:r>
      <w:r w:rsidRPr="008627F7">
        <w:t>shall</w:t>
      </w:r>
      <w:r w:rsidRPr="008627F7">
        <w:rPr>
          <w:spacing w:val="-7"/>
        </w:rPr>
        <w:t xml:space="preserve"> </w:t>
      </w:r>
      <w:r w:rsidRPr="008627F7">
        <w:t>take</w:t>
      </w:r>
      <w:r w:rsidRPr="008627F7">
        <w:rPr>
          <w:spacing w:val="-8"/>
        </w:rPr>
        <w:t xml:space="preserve"> </w:t>
      </w:r>
      <w:r w:rsidRPr="008627F7">
        <w:t>immediate</w:t>
      </w:r>
      <w:r w:rsidRPr="008627F7">
        <w:rPr>
          <w:spacing w:val="-6"/>
        </w:rPr>
        <w:t xml:space="preserve"> </w:t>
      </w:r>
      <w:r w:rsidRPr="008627F7">
        <w:t>steps</w:t>
      </w:r>
      <w:r w:rsidRPr="008627F7">
        <w:rPr>
          <w:spacing w:val="-6"/>
        </w:rPr>
        <w:t xml:space="preserve"> </w:t>
      </w:r>
      <w:r w:rsidRPr="008627F7">
        <w:t>to</w:t>
      </w:r>
      <w:r w:rsidRPr="008627F7">
        <w:rPr>
          <w:spacing w:val="-6"/>
        </w:rPr>
        <w:t xml:space="preserve"> </w:t>
      </w:r>
      <w:r w:rsidRPr="008627F7">
        <w:t>remedy</w:t>
      </w:r>
      <w:r w:rsidRPr="008627F7">
        <w:rPr>
          <w:spacing w:val="-7"/>
        </w:rPr>
        <w:t xml:space="preserve"> </w:t>
      </w:r>
      <w:r w:rsidRPr="008627F7">
        <w:t>that</w:t>
      </w:r>
      <w:r w:rsidRPr="008627F7">
        <w:rPr>
          <w:spacing w:val="-6"/>
        </w:rPr>
        <w:t xml:space="preserve"> </w:t>
      </w:r>
      <w:r w:rsidRPr="008627F7">
        <w:t>situation.</w:t>
      </w:r>
    </w:p>
    <w:p w:rsidR="00994A7E" w:rsidRPr="00CF73CE" w:rsidRDefault="00994A7E" w:rsidP="00994A7E">
      <w:pPr>
        <w:pStyle w:val="Heading2"/>
      </w:pPr>
      <w:bookmarkStart w:id="15" w:name="Article_IV._Legal_personality"/>
      <w:bookmarkEnd w:id="15"/>
      <w:r w:rsidRPr="00CF73CE">
        <w:t>Legal</w:t>
      </w:r>
      <w:r w:rsidRPr="008627F7">
        <w:rPr>
          <w:spacing w:val="-9"/>
        </w:rPr>
        <w:t xml:space="preserve"> </w:t>
      </w:r>
      <w:r w:rsidRPr="00CF73CE">
        <w:t>personality</w:t>
      </w:r>
    </w:p>
    <w:p w:rsidR="00994A7E" w:rsidRPr="008627F7" w:rsidRDefault="00994A7E" w:rsidP="008627F7">
      <w:pPr>
        <w:pStyle w:val="BodyText"/>
        <w:ind w:right="192"/>
      </w:pPr>
      <w:r w:rsidRPr="008627F7">
        <w:t>This Agreement</w:t>
      </w:r>
      <w:r w:rsidRPr="008627F7">
        <w:rPr>
          <w:spacing w:val="8"/>
        </w:rPr>
        <w:t xml:space="preserve"> </w:t>
      </w:r>
      <w:r w:rsidRPr="008627F7">
        <w:t>or</w:t>
      </w:r>
      <w:r w:rsidRPr="008627F7">
        <w:rPr>
          <w:spacing w:val="7"/>
        </w:rPr>
        <w:t xml:space="preserve"> </w:t>
      </w:r>
      <w:r w:rsidRPr="008627F7">
        <w:t>the</w:t>
      </w:r>
      <w:r w:rsidRPr="008627F7">
        <w:rPr>
          <w:spacing w:val="7"/>
        </w:rPr>
        <w:t xml:space="preserve"> </w:t>
      </w:r>
      <w:r w:rsidRPr="008627F7">
        <w:t>cooperation</w:t>
      </w:r>
      <w:r w:rsidRPr="008627F7">
        <w:rPr>
          <w:spacing w:val="7"/>
        </w:rPr>
        <w:t xml:space="preserve"> </w:t>
      </w:r>
      <w:r w:rsidRPr="008627F7">
        <w:rPr>
          <w:spacing w:val="-1"/>
        </w:rPr>
        <w:t>contemplated</w:t>
      </w:r>
      <w:r w:rsidRPr="008627F7">
        <w:rPr>
          <w:spacing w:val="8"/>
        </w:rPr>
        <w:t xml:space="preserve"> </w:t>
      </w:r>
      <w:r w:rsidRPr="008627F7">
        <w:t>herein</w:t>
      </w:r>
      <w:r w:rsidRPr="008627F7">
        <w:rPr>
          <w:spacing w:val="8"/>
        </w:rPr>
        <w:t xml:space="preserve"> </w:t>
      </w:r>
      <w:r w:rsidRPr="008627F7">
        <w:t>shall</w:t>
      </w:r>
      <w:r w:rsidRPr="008627F7">
        <w:rPr>
          <w:spacing w:val="6"/>
        </w:rPr>
        <w:t xml:space="preserve"> </w:t>
      </w:r>
      <w:r w:rsidRPr="008627F7">
        <w:t>not</w:t>
      </w:r>
      <w:r w:rsidRPr="008627F7">
        <w:rPr>
          <w:spacing w:val="8"/>
        </w:rPr>
        <w:t xml:space="preserve"> </w:t>
      </w:r>
      <w:r w:rsidRPr="008627F7">
        <w:rPr>
          <w:spacing w:val="-1"/>
        </w:rPr>
        <w:t>constitute</w:t>
      </w:r>
      <w:r w:rsidRPr="008627F7">
        <w:rPr>
          <w:spacing w:val="7"/>
        </w:rPr>
        <w:t xml:space="preserve"> </w:t>
      </w:r>
      <w:r w:rsidRPr="008627F7">
        <w:t>or</w:t>
      </w:r>
      <w:r w:rsidRPr="008627F7">
        <w:rPr>
          <w:spacing w:val="7"/>
        </w:rPr>
        <w:t xml:space="preserve"> </w:t>
      </w:r>
      <w:r w:rsidRPr="008627F7">
        <w:t>be</w:t>
      </w:r>
      <w:r w:rsidRPr="008627F7">
        <w:rPr>
          <w:spacing w:val="40"/>
          <w:w w:val="99"/>
        </w:rPr>
        <w:t xml:space="preserve"> </w:t>
      </w:r>
      <w:r w:rsidRPr="008627F7">
        <w:t>deemed</w:t>
      </w:r>
      <w:r w:rsidRPr="008627F7">
        <w:rPr>
          <w:spacing w:val="-7"/>
        </w:rPr>
        <w:t xml:space="preserve"> </w:t>
      </w:r>
      <w:r w:rsidRPr="008627F7">
        <w:t>to</w:t>
      </w:r>
      <w:r w:rsidRPr="008627F7">
        <w:rPr>
          <w:spacing w:val="-6"/>
        </w:rPr>
        <w:t xml:space="preserve"> </w:t>
      </w:r>
      <w:r w:rsidRPr="008627F7">
        <w:t>constitute</w:t>
      </w:r>
      <w:r w:rsidRPr="008627F7">
        <w:rPr>
          <w:spacing w:val="-7"/>
        </w:rPr>
        <w:t xml:space="preserve"> </w:t>
      </w:r>
      <w:r w:rsidRPr="008627F7">
        <w:t>a</w:t>
      </w:r>
      <w:r w:rsidRPr="008627F7">
        <w:rPr>
          <w:spacing w:val="-6"/>
        </w:rPr>
        <w:t xml:space="preserve"> </w:t>
      </w:r>
      <w:r w:rsidRPr="008627F7">
        <w:t>legal</w:t>
      </w:r>
      <w:r w:rsidRPr="008627F7">
        <w:rPr>
          <w:spacing w:val="-6"/>
        </w:rPr>
        <w:t xml:space="preserve"> </w:t>
      </w:r>
      <w:r w:rsidRPr="008627F7">
        <w:t>entity</w:t>
      </w:r>
      <w:r w:rsidRPr="008627F7">
        <w:rPr>
          <w:spacing w:val="-7"/>
        </w:rPr>
        <w:t xml:space="preserve"> </w:t>
      </w:r>
      <w:r w:rsidRPr="008627F7">
        <w:t>or</w:t>
      </w:r>
      <w:r w:rsidRPr="008627F7">
        <w:rPr>
          <w:spacing w:val="-6"/>
        </w:rPr>
        <w:t xml:space="preserve"> </w:t>
      </w:r>
      <w:r w:rsidRPr="008627F7">
        <w:t>partnership</w:t>
      </w:r>
      <w:r w:rsidRPr="008627F7">
        <w:rPr>
          <w:spacing w:val="-6"/>
        </w:rPr>
        <w:t xml:space="preserve"> </w:t>
      </w:r>
      <w:r w:rsidRPr="008627F7">
        <w:t>between</w:t>
      </w:r>
      <w:r w:rsidRPr="008627F7">
        <w:rPr>
          <w:spacing w:val="-7"/>
        </w:rPr>
        <w:t xml:space="preserve"> </w:t>
      </w:r>
      <w:r w:rsidRPr="008627F7">
        <w:t>the</w:t>
      </w:r>
      <w:r w:rsidRPr="008627F7">
        <w:rPr>
          <w:spacing w:val="-6"/>
        </w:rPr>
        <w:t xml:space="preserve"> </w:t>
      </w:r>
      <w:r w:rsidRPr="008627F7">
        <w:t>Parties.</w:t>
      </w:r>
      <w:bookmarkStart w:id="16" w:name="Article_V._Communication_requirements_of"/>
      <w:bookmarkEnd w:id="16"/>
    </w:p>
    <w:p w:rsidR="00994A7E" w:rsidRPr="00CF73CE" w:rsidRDefault="000F53F3" w:rsidP="0085006E">
      <w:pPr>
        <w:pStyle w:val="Heading2"/>
        <w:ind w:left="0" w:firstLine="0"/>
      </w:pPr>
      <w:r>
        <w:t>Communications on</w:t>
      </w:r>
      <w:r w:rsidR="00994A7E" w:rsidRPr="00CF73CE">
        <w:t xml:space="preserve"> the Joint Registration Dossier</w:t>
      </w:r>
    </w:p>
    <w:p w:rsidR="00994A7E" w:rsidRPr="00CF73CE" w:rsidRDefault="00994A7E" w:rsidP="008627F7">
      <w:pPr>
        <w:pStyle w:val="Paragraph"/>
        <w:numPr>
          <w:ilvl w:val="1"/>
          <w:numId w:val="14"/>
        </w:numPr>
        <w:rPr>
          <w:color w:val="000000"/>
        </w:rPr>
      </w:pPr>
      <w:r w:rsidRPr="008627F7">
        <w:t>The Lead Registrant undertakes to inform the Non-Lead Member regularly on the</w:t>
      </w:r>
      <w:r w:rsidRPr="00CF73CE">
        <w:rPr>
          <w:color w:val="000000"/>
        </w:rPr>
        <w:t xml:space="preserve"> development</w:t>
      </w:r>
      <w:r w:rsidR="000F53F3">
        <w:rPr>
          <w:color w:val="000000"/>
        </w:rPr>
        <w:t>s</w:t>
      </w:r>
      <w:r w:rsidRPr="00CF73CE">
        <w:rPr>
          <w:color w:val="000000"/>
        </w:rPr>
        <w:t xml:space="preserve"> of the Joint Registration Dossier. </w:t>
      </w:r>
    </w:p>
    <w:p w:rsidR="00994A7E" w:rsidRPr="008627F7" w:rsidRDefault="00994A7E" w:rsidP="008627F7">
      <w:pPr>
        <w:pStyle w:val="Paragraph"/>
        <w:numPr>
          <w:ilvl w:val="1"/>
          <w:numId w:val="14"/>
        </w:numPr>
      </w:pPr>
      <w:r w:rsidRPr="008627F7">
        <w:t xml:space="preserve">In particular, in case the </w:t>
      </w:r>
      <w:r w:rsidR="000F53F3">
        <w:rPr>
          <w:lang w:eastAsia="fr-FR"/>
        </w:rPr>
        <w:t>CSR</w:t>
      </w:r>
      <w:r w:rsidRPr="008627F7">
        <w:t xml:space="preserve"> is </w:t>
      </w:r>
      <w:r w:rsidRPr="005840E6">
        <w:rPr>
          <w:lang w:eastAsia="fr-FR"/>
        </w:rPr>
        <w:t>included in the Joint Registration Dossier</w:t>
      </w:r>
      <w:r w:rsidRPr="005840E6">
        <w:t>,</w:t>
      </w:r>
      <w:r w:rsidRPr="008627F7">
        <w:t xml:space="preserve"> the Lead Registrant undertakes to inform the Non-Lead Member on the list of uses to be covered in that </w:t>
      </w:r>
      <w:r w:rsidR="00164842">
        <w:rPr>
          <w:lang w:eastAsia="fr-FR"/>
        </w:rPr>
        <w:t>CSR</w:t>
      </w:r>
      <w:r w:rsidRPr="008627F7">
        <w:t xml:space="preserve"> without undue delay. </w:t>
      </w:r>
    </w:p>
    <w:p w:rsidR="00994A7E" w:rsidRPr="008627F7" w:rsidRDefault="00994A7E" w:rsidP="008627F7">
      <w:pPr>
        <w:pStyle w:val="Paragraph"/>
        <w:numPr>
          <w:ilvl w:val="1"/>
          <w:numId w:val="14"/>
        </w:numPr>
      </w:pPr>
      <w:r w:rsidRPr="008627F7">
        <w:t>The Non-Lead Member undertakes to make all best efforts to check proactively and regularly all updated Information that is made available by the Lead Registrant on the Joint Registration Dossier.</w:t>
      </w:r>
    </w:p>
    <w:p w:rsidR="00CB3EF0" w:rsidRDefault="00994A7E" w:rsidP="00CB3EF0">
      <w:pPr>
        <w:pStyle w:val="Paragraph"/>
        <w:numPr>
          <w:ilvl w:val="1"/>
          <w:numId w:val="14"/>
        </w:numPr>
      </w:pPr>
      <w:r w:rsidRPr="008627F7">
        <w:t xml:space="preserve">The Parties agree that such communication may be channelled via the use of </w:t>
      </w:r>
      <w:r w:rsidRPr="005840E6">
        <w:rPr>
          <w:lang w:eastAsia="fr-FR"/>
        </w:rPr>
        <w:t xml:space="preserve">electronic communications and/or </w:t>
      </w:r>
      <w:r w:rsidRPr="008627F7">
        <w:t xml:space="preserve">the </w:t>
      </w:r>
      <w:r w:rsidRPr="005840E6">
        <w:rPr>
          <w:lang w:eastAsia="fr-FR"/>
        </w:rPr>
        <w:t>relevant the joint submission object in REACH-</w:t>
      </w:r>
      <w:r w:rsidRPr="008627F7">
        <w:t>IT</w:t>
      </w:r>
      <w:r w:rsidRPr="005840E6">
        <w:rPr>
          <w:lang w:eastAsia="fr-FR"/>
        </w:rPr>
        <w:t xml:space="preserve"> as mentioned under </w:t>
      </w:r>
      <w:r>
        <w:rPr>
          <w:lang w:eastAsia="fr-FR"/>
        </w:rPr>
        <w:t xml:space="preserve">Paragraph </w:t>
      </w:r>
      <w:r>
        <w:rPr>
          <w:lang w:eastAsia="fr-FR"/>
        </w:rPr>
        <w:fldChar w:fldCharType="begin"/>
      </w:r>
      <w:r>
        <w:rPr>
          <w:lang w:eastAsia="fr-FR"/>
        </w:rPr>
        <w:instrText xml:space="preserve"> REF _Ref6935614 \r \h </w:instrText>
      </w:r>
      <w:r>
        <w:rPr>
          <w:lang w:eastAsia="fr-FR"/>
        </w:rPr>
      </w:r>
      <w:r>
        <w:rPr>
          <w:lang w:eastAsia="fr-FR"/>
        </w:rPr>
        <w:fldChar w:fldCharType="separate"/>
      </w:r>
      <w:r>
        <w:rPr>
          <w:lang w:eastAsia="fr-FR"/>
        </w:rPr>
        <w:t>VIII.1</w:t>
      </w:r>
      <w:r>
        <w:rPr>
          <w:lang w:eastAsia="fr-FR"/>
        </w:rPr>
        <w:fldChar w:fldCharType="end"/>
      </w:r>
      <w:r>
        <w:rPr>
          <w:lang w:eastAsia="fr-FR"/>
        </w:rPr>
        <w:t xml:space="preserve"> of the present Agreement</w:t>
      </w:r>
      <w:r w:rsidR="00164842">
        <w:rPr>
          <w:lang w:eastAsia="fr-FR"/>
        </w:rPr>
        <w:t>.</w:t>
      </w:r>
    </w:p>
    <w:p w:rsidR="00CB3EF0" w:rsidRPr="008627F7" w:rsidRDefault="00CB3EF0" w:rsidP="00CB3EF0">
      <w:pPr>
        <w:pStyle w:val="Paragraph"/>
        <w:numPr>
          <w:ilvl w:val="0"/>
          <w:numId w:val="0"/>
        </w:numPr>
        <w:spacing w:after="0"/>
      </w:pPr>
    </w:p>
    <w:p w:rsidR="00994A7E" w:rsidRPr="00CF73CE" w:rsidRDefault="00994A7E" w:rsidP="008627F7">
      <w:pPr>
        <w:pStyle w:val="Title"/>
      </w:pPr>
      <w:bookmarkStart w:id="17" w:name="TITLE_II:_DATA_SHARING_AND_JOINT_SUBMISS"/>
      <w:bookmarkEnd w:id="17"/>
      <w:r w:rsidRPr="008627F7">
        <w:rPr>
          <w:u w:color="000000"/>
        </w:rPr>
        <w:t>TITLE</w:t>
      </w:r>
      <w:r w:rsidRPr="008627F7">
        <w:rPr>
          <w:spacing w:val="-8"/>
          <w:u w:color="000000"/>
        </w:rPr>
        <w:t xml:space="preserve"> </w:t>
      </w:r>
      <w:r w:rsidRPr="008627F7">
        <w:rPr>
          <w:u w:color="000000"/>
        </w:rPr>
        <w:t>II:</w:t>
      </w:r>
      <w:r w:rsidRPr="008627F7">
        <w:rPr>
          <w:spacing w:val="-9"/>
          <w:u w:color="000000"/>
        </w:rPr>
        <w:t xml:space="preserve"> </w:t>
      </w:r>
      <w:r w:rsidRPr="008627F7">
        <w:rPr>
          <w:spacing w:val="-1"/>
          <w:u w:color="000000"/>
        </w:rPr>
        <w:t>DATA</w:t>
      </w:r>
      <w:r w:rsidRPr="008627F7">
        <w:rPr>
          <w:spacing w:val="-8"/>
          <w:u w:color="000000"/>
        </w:rPr>
        <w:t xml:space="preserve"> </w:t>
      </w:r>
      <w:r w:rsidRPr="008627F7">
        <w:rPr>
          <w:spacing w:val="-1"/>
          <w:u w:color="000000"/>
        </w:rPr>
        <w:t>SHARING</w:t>
      </w:r>
      <w:r w:rsidRPr="008627F7">
        <w:rPr>
          <w:spacing w:val="-8"/>
          <w:u w:color="000000"/>
        </w:rPr>
        <w:t xml:space="preserve"> </w:t>
      </w:r>
      <w:r w:rsidRPr="008627F7">
        <w:rPr>
          <w:spacing w:val="-1"/>
          <w:u w:color="000000"/>
        </w:rPr>
        <w:t>AND</w:t>
      </w:r>
      <w:r w:rsidRPr="008627F7">
        <w:rPr>
          <w:spacing w:val="-8"/>
          <w:u w:color="000000"/>
        </w:rPr>
        <w:t xml:space="preserve"> </w:t>
      </w:r>
      <w:r w:rsidRPr="008627F7">
        <w:rPr>
          <w:u w:color="000000"/>
        </w:rPr>
        <w:t>JOINT</w:t>
      </w:r>
      <w:r w:rsidRPr="008627F7">
        <w:rPr>
          <w:spacing w:val="-8"/>
          <w:u w:color="000000"/>
        </w:rPr>
        <w:t xml:space="preserve"> </w:t>
      </w:r>
      <w:r w:rsidRPr="008627F7">
        <w:rPr>
          <w:u w:color="000000"/>
        </w:rPr>
        <w:t>SUBMISSION</w:t>
      </w:r>
      <w:r w:rsidRPr="008627F7">
        <w:rPr>
          <w:spacing w:val="-7"/>
          <w:u w:color="000000"/>
        </w:rPr>
        <w:t xml:space="preserve"> </w:t>
      </w:r>
      <w:r w:rsidRPr="008627F7">
        <w:rPr>
          <w:u w:color="000000"/>
        </w:rPr>
        <w:t>OF</w:t>
      </w:r>
      <w:r w:rsidRPr="008627F7">
        <w:rPr>
          <w:spacing w:val="-7"/>
          <w:u w:color="000000"/>
        </w:rPr>
        <w:t xml:space="preserve"> </w:t>
      </w:r>
      <w:r w:rsidRPr="008627F7">
        <w:rPr>
          <w:u w:color="000000"/>
        </w:rPr>
        <w:t>THE</w:t>
      </w:r>
      <w:r w:rsidRPr="008627F7">
        <w:rPr>
          <w:spacing w:val="-8"/>
          <w:u w:color="000000"/>
        </w:rPr>
        <w:t xml:space="preserve"> </w:t>
      </w:r>
      <w:r w:rsidRPr="008627F7">
        <w:rPr>
          <w:u w:color="000000"/>
        </w:rPr>
        <w:t>DOSSIER</w:t>
      </w:r>
    </w:p>
    <w:p w:rsidR="00994A7E" w:rsidRPr="00CF73CE" w:rsidRDefault="00994A7E" w:rsidP="00994A7E">
      <w:pPr>
        <w:pStyle w:val="Heading2"/>
      </w:pPr>
      <w:bookmarkStart w:id="18" w:name="1._OBLIGATIONS_OF_BASF"/>
      <w:bookmarkStart w:id="19" w:name="Article_VI._Participation_in_the_joint_s"/>
      <w:bookmarkStart w:id="20" w:name="_Toc225218092"/>
      <w:bookmarkEnd w:id="18"/>
      <w:bookmarkEnd w:id="19"/>
      <w:r w:rsidRPr="00CF73CE">
        <w:t>Participation</w:t>
      </w:r>
      <w:r w:rsidRPr="008627F7">
        <w:rPr>
          <w:spacing w:val="-7"/>
        </w:rPr>
        <w:t xml:space="preserve"> </w:t>
      </w:r>
      <w:r w:rsidRPr="00CF73CE">
        <w:t>in</w:t>
      </w:r>
      <w:r w:rsidRPr="008627F7">
        <w:rPr>
          <w:spacing w:val="-7"/>
        </w:rPr>
        <w:t xml:space="preserve"> </w:t>
      </w:r>
      <w:r w:rsidRPr="00CF73CE">
        <w:t>the</w:t>
      </w:r>
      <w:r w:rsidRPr="008627F7">
        <w:rPr>
          <w:spacing w:val="-7"/>
        </w:rPr>
        <w:t xml:space="preserve"> </w:t>
      </w:r>
      <w:r w:rsidRPr="00CF73CE">
        <w:t>joint</w:t>
      </w:r>
      <w:r w:rsidRPr="008627F7">
        <w:rPr>
          <w:spacing w:val="-7"/>
        </w:rPr>
        <w:t xml:space="preserve"> </w:t>
      </w:r>
      <w:r w:rsidRPr="00CF73CE">
        <w:t>submission</w:t>
      </w:r>
      <w:r w:rsidRPr="008627F7">
        <w:rPr>
          <w:spacing w:val="-6"/>
        </w:rPr>
        <w:t xml:space="preserve"> </w:t>
      </w:r>
      <w:r w:rsidRPr="00CF73CE">
        <w:t>of</w:t>
      </w:r>
      <w:r w:rsidRPr="008627F7">
        <w:rPr>
          <w:spacing w:val="-7"/>
        </w:rPr>
        <w:t xml:space="preserve"> </w:t>
      </w:r>
      <w:r w:rsidRPr="00CF73CE">
        <w:t>data</w:t>
      </w:r>
      <w:r w:rsidRPr="008627F7">
        <w:rPr>
          <w:spacing w:val="-6"/>
        </w:rPr>
        <w:t xml:space="preserve"> </w:t>
      </w:r>
    </w:p>
    <w:p w:rsidR="00994A7E" w:rsidRPr="008627F7" w:rsidRDefault="00994A7E" w:rsidP="008627F7">
      <w:pPr>
        <w:pStyle w:val="Paragraph"/>
        <w:numPr>
          <w:ilvl w:val="1"/>
          <w:numId w:val="14"/>
        </w:numPr>
      </w:pPr>
      <w:r w:rsidRPr="005840E6">
        <w:t>In</w:t>
      </w:r>
      <w:r w:rsidRPr="00042508">
        <w:rPr>
          <w:spacing w:val="24"/>
        </w:rPr>
        <w:t xml:space="preserve"> </w:t>
      </w:r>
      <w:r w:rsidRPr="00042508">
        <w:rPr>
          <w:spacing w:val="-1"/>
        </w:rPr>
        <w:t>accordance</w:t>
      </w:r>
      <w:r w:rsidRPr="00042508">
        <w:rPr>
          <w:spacing w:val="25"/>
        </w:rPr>
        <w:t xml:space="preserve"> </w:t>
      </w:r>
      <w:r w:rsidRPr="005840E6">
        <w:t>with</w:t>
      </w:r>
      <w:r w:rsidRPr="008627F7">
        <w:rPr>
          <w:spacing w:val="25"/>
        </w:rPr>
        <w:t xml:space="preserve"> </w:t>
      </w:r>
      <w:r w:rsidRPr="008627F7">
        <w:t>Article</w:t>
      </w:r>
      <w:r w:rsidRPr="008627F7">
        <w:rPr>
          <w:spacing w:val="25"/>
        </w:rPr>
        <w:t xml:space="preserve"> </w:t>
      </w:r>
      <w:r w:rsidRPr="008627F7">
        <w:t>11</w:t>
      </w:r>
      <w:r w:rsidRPr="008627F7">
        <w:rPr>
          <w:spacing w:val="25"/>
        </w:rPr>
        <w:t xml:space="preserve"> </w:t>
      </w:r>
      <w:r w:rsidRPr="008627F7">
        <w:t>(1)</w:t>
      </w:r>
      <w:r w:rsidRPr="008627F7">
        <w:rPr>
          <w:spacing w:val="24"/>
        </w:rPr>
        <w:t xml:space="preserve"> </w:t>
      </w:r>
      <w:r w:rsidRPr="005840E6">
        <w:t>or</w:t>
      </w:r>
      <w:r w:rsidRPr="00042508">
        <w:rPr>
          <w:spacing w:val="25"/>
        </w:rPr>
        <w:t xml:space="preserve"> </w:t>
      </w:r>
      <w:r w:rsidRPr="005840E6">
        <w:t>Art</w:t>
      </w:r>
      <w:r w:rsidR="00164842">
        <w:t>icle</w:t>
      </w:r>
      <w:r w:rsidRPr="00042508">
        <w:rPr>
          <w:spacing w:val="24"/>
        </w:rPr>
        <w:t xml:space="preserve"> </w:t>
      </w:r>
      <w:r w:rsidRPr="005840E6">
        <w:t>19</w:t>
      </w:r>
      <w:r w:rsidRPr="00042508">
        <w:rPr>
          <w:spacing w:val="25"/>
        </w:rPr>
        <w:t xml:space="preserve"> </w:t>
      </w:r>
      <w:r w:rsidRPr="005840E6">
        <w:t>(1)</w:t>
      </w:r>
      <w:r w:rsidRPr="00042508">
        <w:rPr>
          <w:spacing w:val="25"/>
        </w:rPr>
        <w:t xml:space="preserve"> of </w:t>
      </w:r>
      <w:r w:rsidRPr="008627F7">
        <w:t>REACH,</w:t>
      </w:r>
      <w:r w:rsidRPr="008627F7">
        <w:rPr>
          <w:spacing w:val="26"/>
        </w:rPr>
        <w:t xml:space="preserve"> </w:t>
      </w:r>
      <w:r w:rsidRPr="008627F7">
        <w:t xml:space="preserve">the Parties hereto agree to have the Joint Registration Dossier for the Substance submitted by the Lead Registrant on behalf of the Non-Lead Member having fulfilled its obligations under </w:t>
      </w:r>
      <w:r>
        <w:fldChar w:fldCharType="begin"/>
      </w:r>
      <w:r>
        <w:instrText xml:space="preserve"> REF _Ref6935638 \r \h </w:instrText>
      </w:r>
      <w:r>
        <w:fldChar w:fldCharType="separate"/>
      </w:r>
      <w:r>
        <w:t>Article IX</w:t>
      </w:r>
      <w:r>
        <w:fldChar w:fldCharType="end"/>
      </w:r>
      <w:r w:rsidRPr="008627F7">
        <w:t xml:space="preserve"> to this Agreement. Upon demand of the Agency, within the requested deadline and to the extent necessary, the Lead Registrant agrees to complete the Joint Registration Dossier.</w:t>
      </w:r>
    </w:p>
    <w:p w:rsidR="00994A7E" w:rsidRPr="008627F7" w:rsidRDefault="00994A7E" w:rsidP="008627F7">
      <w:pPr>
        <w:pStyle w:val="Paragraph"/>
        <w:numPr>
          <w:ilvl w:val="1"/>
          <w:numId w:val="14"/>
        </w:numPr>
      </w:pPr>
      <w:r w:rsidRPr="008627F7">
        <w:t>Notwithstanding</w:t>
      </w:r>
      <w:r w:rsidRPr="008627F7">
        <w:rPr>
          <w:spacing w:val="43"/>
        </w:rPr>
        <w:t xml:space="preserve"> </w:t>
      </w:r>
      <w:r w:rsidRPr="008627F7">
        <w:t>anything</w:t>
      </w:r>
      <w:r w:rsidRPr="008627F7">
        <w:rPr>
          <w:spacing w:val="44"/>
        </w:rPr>
        <w:t xml:space="preserve"> </w:t>
      </w:r>
      <w:r w:rsidRPr="008627F7">
        <w:t>to</w:t>
      </w:r>
      <w:r w:rsidRPr="008627F7">
        <w:rPr>
          <w:spacing w:val="43"/>
        </w:rPr>
        <w:t xml:space="preserve"> </w:t>
      </w:r>
      <w:r w:rsidRPr="008627F7">
        <w:t>the</w:t>
      </w:r>
      <w:r w:rsidRPr="008627F7">
        <w:rPr>
          <w:spacing w:val="42"/>
        </w:rPr>
        <w:t xml:space="preserve"> </w:t>
      </w:r>
      <w:r w:rsidRPr="008627F7">
        <w:t>contrary</w:t>
      </w:r>
      <w:r w:rsidRPr="008627F7">
        <w:rPr>
          <w:spacing w:val="43"/>
        </w:rPr>
        <w:t xml:space="preserve"> </w:t>
      </w:r>
      <w:r w:rsidRPr="008627F7">
        <w:t>under</w:t>
      </w:r>
      <w:r w:rsidRPr="008627F7">
        <w:rPr>
          <w:spacing w:val="43"/>
        </w:rPr>
        <w:t xml:space="preserve"> </w:t>
      </w:r>
      <w:r w:rsidRPr="008627F7">
        <w:t>this Agreement,</w:t>
      </w:r>
      <w:r w:rsidRPr="008627F7">
        <w:rPr>
          <w:spacing w:val="44"/>
        </w:rPr>
        <w:t xml:space="preserve"> </w:t>
      </w:r>
      <w:r w:rsidRPr="008627F7">
        <w:rPr>
          <w:spacing w:val="-1"/>
        </w:rPr>
        <w:t>the</w:t>
      </w:r>
      <w:r w:rsidRPr="008627F7">
        <w:rPr>
          <w:spacing w:val="43"/>
        </w:rPr>
        <w:t xml:space="preserve"> </w:t>
      </w:r>
      <w:r w:rsidRPr="008627F7">
        <w:t>Parties</w:t>
      </w:r>
      <w:r w:rsidRPr="008627F7">
        <w:rPr>
          <w:spacing w:val="24"/>
          <w:w w:val="99"/>
        </w:rPr>
        <w:t xml:space="preserve"> </w:t>
      </w:r>
      <w:r w:rsidRPr="008627F7">
        <w:t>remain</w:t>
      </w:r>
      <w:r w:rsidRPr="008627F7">
        <w:rPr>
          <w:spacing w:val="32"/>
        </w:rPr>
        <w:t xml:space="preserve"> </w:t>
      </w:r>
      <w:r w:rsidRPr="008627F7">
        <w:t>individually</w:t>
      </w:r>
      <w:r w:rsidRPr="008627F7">
        <w:rPr>
          <w:spacing w:val="33"/>
        </w:rPr>
        <w:t xml:space="preserve"> </w:t>
      </w:r>
      <w:r w:rsidRPr="008627F7">
        <w:rPr>
          <w:spacing w:val="-1"/>
        </w:rPr>
        <w:t>responsible</w:t>
      </w:r>
      <w:r w:rsidRPr="008627F7">
        <w:rPr>
          <w:spacing w:val="33"/>
        </w:rPr>
        <w:t xml:space="preserve"> </w:t>
      </w:r>
      <w:r w:rsidRPr="008627F7">
        <w:t>to</w:t>
      </w:r>
      <w:r w:rsidRPr="008627F7">
        <w:rPr>
          <w:spacing w:val="32"/>
        </w:rPr>
        <w:t xml:space="preserve"> </w:t>
      </w:r>
      <w:r w:rsidRPr="008627F7">
        <w:t>comply</w:t>
      </w:r>
      <w:r w:rsidRPr="008627F7">
        <w:rPr>
          <w:spacing w:val="32"/>
        </w:rPr>
        <w:t xml:space="preserve"> </w:t>
      </w:r>
      <w:r w:rsidRPr="008627F7">
        <w:t>with</w:t>
      </w:r>
      <w:r w:rsidRPr="008627F7">
        <w:rPr>
          <w:spacing w:val="34"/>
        </w:rPr>
        <w:t xml:space="preserve"> </w:t>
      </w:r>
      <w:r w:rsidRPr="008627F7">
        <w:t>REACH,</w:t>
      </w:r>
      <w:r w:rsidRPr="008627F7">
        <w:rPr>
          <w:spacing w:val="34"/>
        </w:rPr>
        <w:t xml:space="preserve"> </w:t>
      </w:r>
      <w:r w:rsidRPr="008627F7">
        <w:t>in</w:t>
      </w:r>
      <w:r w:rsidRPr="008627F7">
        <w:rPr>
          <w:spacing w:val="32"/>
        </w:rPr>
        <w:t xml:space="preserve"> </w:t>
      </w:r>
      <w:r w:rsidRPr="008627F7">
        <w:t>particular,</w:t>
      </w:r>
      <w:r w:rsidRPr="008627F7">
        <w:rPr>
          <w:spacing w:val="33"/>
        </w:rPr>
        <w:t xml:space="preserve"> </w:t>
      </w:r>
      <w:r w:rsidRPr="008627F7">
        <w:rPr>
          <w:spacing w:val="-1"/>
        </w:rPr>
        <w:t>but</w:t>
      </w:r>
      <w:r w:rsidRPr="008627F7">
        <w:rPr>
          <w:spacing w:val="32"/>
        </w:rPr>
        <w:t xml:space="preserve"> </w:t>
      </w:r>
      <w:r w:rsidRPr="008627F7">
        <w:t>not</w:t>
      </w:r>
      <w:r w:rsidRPr="008627F7">
        <w:rPr>
          <w:spacing w:val="33"/>
        </w:rPr>
        <w:t xml:space="preserve"> </w:t>
      </w:r>
      <w:r w:rsidRPr="008627F7">
        <w:rPr>
          <w:spacing w:val="-1"/>
        </w:rPr>
        <w:t>limited</w:t>
      </w:r>
      <w:r w:rsidRPr="008627F7">
        <w:rPr>
          <w:spacing w:val="32"/>
        </w:rPr>
        <w:t xml:space="preserve"> </w:t>
      </w:r>
      <w:r w:rsidRPr="008627F7">
        <w:t>to,</w:t>
      </w:r>
      <w:r w:rsidRPr="008627F7">
        <w:rPr>
          <w:spacing w:val="32"/>
        </w:rPr>
        <w:t xml:space="preserve"> </w:t>
      </w:r>
      <w:r w:rsidRPr="008627F7">
        <w:t>in</w:t>
      </w:r>
      <w:r w:rsidRPr="008627F7">
        <w:rPr>
          <w:spacing w:val="37"/>
          <w:w w:val="99"/>
        </w:rPr>
        <w:t xml:space="preserve"> </w:t>
      </w:r>
      <w:r w:rsidRPr="008627F7">
        <w:t>relation</w:t>
      </w:r>
      <w:r w:rsidRPr="008627F7">
        <w:rPr>
          <w:spacing w:val="3"/>
        </w:rPr>
        <w:t xml:space="preserve"> </w:t>
      </w:r>
      <w:r w:rsidRPr="008627F7">
        <w:t>to</w:t>
      </w:r>
      <w:r w:rsidRPr="008627F7">
        <w:rPr>
          <w:spacing w:val="4"/>
        </w:rPr>
        <w:t xml:space="preserve"> </w:t>
      </w:r>
      <w:r w:rsidRPr="008627F7">
        <w:rPr>
          <w:spacing w:val="-1"/>
        </w:rPr>
        <w:t>the</w:t>
      </w:r>
      <w:r w:rsidRPr="008627F7">
        <w:rPr>
          <w:spacing w:val="4"/>
        </w:rPr>
        <w:t xml:space="preserve"> </w:t>
      </w:r>
      <w:r w:rsidRPr="008627F7">
        <w:rPr>
          <w:spacing w:val="-1"/>
        </w:rPr>
        <w:t>individual</w:t>
      </w:r>
      <w:r w:rsidRPr="008627F7">
        <w:rPr>
          <w:spacing w:val="4"/>
        </w:rPr>
        <w:t xml:space="preserve"> </w:t>
      </w:r>
      <w:r w:rsidRPr="008627F7">
        <w:t>submission</w:t>
      </w:r>
      <w:r w:rsidRPr="008627F7">
        <w:rPr>
          <w:spacing w:val="2"/>
        </w:rPr>
        <w:t xml:space="preserve"> </w:t>
      </w:r>
      <w:r w:rsidRPr="008627F7">
        <w:t>of</w:t>
      </w:r>
      <w:r w:rsidRPr="008627F7">
        <w:rPr>
          <w:spacing w:val="4"/>
        </w:rPr>
        <w:t xml:space="preserve"> </w:t>
      </w:r>
      <w:r w:rsidRPr="008627F7">
        <w:t>the</w:t>
      </w:r>
      <w:r w:rsidRPr="008627F7">
        <w:rPr>
          <w:spacing w:val="3"/>
        </w:rPr>
        <w:t xml:space="preserve"> </w:t>
      </w:r>
      <w:r w:rsidRPr="008627F7">
        <w:rPr>
          <w:spacing w:val="-1"/>
        </w:rPr>
        <w:t>information</w:t>
      </w:r>
      <w:r w:rsidRPr="008627F7">
        <w:rPr>
          <w:spacing w:val="4"/>
        </w:rPr>
        <w:t xml:space="preserve"> </w:t>
      </w:r>
      <w:r w:rsidRPr="008627F7">
        <w:t>required</w:t>
      </w:r>
      <w:r w:rsidRPr="008627F7">
        <w:rPr>
          <w:spacing w:val="3"/>
        </w:rPr>
        <w:t xml:space="preserve"> </w:t>
      </w:r>
      <w:r w:rsidRPr="008627F7">
        <w:t>under</w:t>
      </w:r>
      <w:r w:rsidRPr="008627F7">
        <w:rPr>
          <w:spacing w:val="4"/>
        </w:rPr>
        <w:t xml:space="preserve"> </w:t>
      </w:r>
      <w:r w:rsidRPr="008627F7">
        <w:t>Article</w:t>
      </w:r>
      <w:r w:rsidRPr="008627F7">
        <w:rPr>
          <w:spacing w:val="3"/>
        </w:rPr>
        <w:t xml:space="preserve"> </w:t>
      </w:r>
      <w:r w:rsidRPr="008627F7">
        <w:t>11</w:t>
      </w:r>
      <w:r w:rsidR="00164842">
        <w:t xml:space="preserve"> </w:t>
      </w:r>
      <w:r w:rsidRPr="008627F7">
        <w:t>(1)</w:t>
      </w:r>
      <w:r w:rsidRPr="008627F7">
        <w:rPr>
          <w:spacing w:val="1"/>
        </w:rPr>
        <w:t xml:space="preserve"> </w:t>
      </w:r>
      <w:r w:rsidRPr="00475D94">
        <w:t>or</w:t>
      </w:r>
      <w:r w:rsidRPr="00475D94">
        <w:rPr>
          <w:spacing w:val="4"/>
        </w:rPr>
        <w:t xml:space="preserve"> </w:t>
      </w:r>
      <w:r w:rsidRPr="00475D94">
        <w:t>Art</w:t>
      </w:r>
      <w:r w:rsidR="00164842">
        <w:t>icle</w:t>
      </w:r>
      <w:r w:rsidRPr="00475D94">
        <w:rPr>
          <w:spacing w:val="4"/>
        </w:rPr>
        <w:t xml:space="preserve"> </w:t>
      </w:r>
      <w:r w:rsidRPr="00475D94">
        <w:t>19 (1)</w:t>
      </w:r>
      <w:r w:rsidRPr="00475D94">
        <w:rPr>
          <w:spacing w:val="3"/>
        </w:rPr>
        <w:t xml:space="preserve"> of </w:t>
      </w:r>
      <w:r w:rsidRPr="00475D94">
        <w:t>REACH.</w:t>
      </w:r>
      <w:r w:rsidRPr="00475D94">
        <w:rPr>
          <w:spacing w:val="4"/>
        </w:rPr>
        <w:t xml:space="preserve"> </w:t>
      </w:r>
      <w:r w:rsidRPr="00475D94">
        <w:t>For</w:t>
      </w:r>
      <w:r w:rsidRPr="00475D94">
        <w:rPr>
          <w:spacing w:val="3"/>
        </w:rPr>
        <w:t xml:space="preserve"> </w:t>
      </w:r>
      <w:r w:rsidRPr="00475D94">
        <w:t>the</w:t>
      </w:r>
      <w:r w:rsidRPr="00475D94">
        <w:rPr>
          <w:spacing w:val="3"/>
        </w:rPr>
        <w:t xml:space="preserve"> </w:t>
      </w:r>
      <w:r w:rsidRPr="00475D94">
        <w:rPr>
          <w:spacing w:val="-1"/>
        </w:rPr>
        <w:t>avoidance</w:t>
      </w:r>
      <w:r w:rsidRPr="00475D94">
        <w:rPr>
          <w:spacing w:val="3"/>
        </w:rPr>
        <w:t xml:space="preserve"> </w:t>
      </w:r>
      <w:r w:rsidRPr="00475D94">
        <w:t>of</w:t>
      </w:r>
      <w:r w:rsidRPr="00475D94">
        <w:rPr>
          <w:spacing w:val="2"/>
        </w:rPr>
        <w:t xml:space="preserve"> </w:t>
      </w:r>
      <w:r w:rsidRPr="00475D94">
        <w:rPr>
          <w:spacing w:val="-1"/>
        </w:rPr>
        <w:t>doubt,</w:t>
      </w:r>
      <w:r w:rsidRPr="00475D94">
        <w:rPr>
          <w:spacing w:val="4"/>
        </w:rPr>
        <w:t xml:space="preserve"> </w:t>
      </w:r>
      <w:r w:rsidRPr="00475D94">
        <w:t>a</w:t>
      </w:r>
      <w:r w:rsidRPr="00475D94">
        <w:rPr>
          <w:spacing w:val="3"/>
        </w:rPr>
        <w:t xml:space="preserve"> </w:t>
      </w:r>
      <w:r w:rsidR="00164842">
        <w:rPr>
          <w:spacing w:val="-1"/>
        </w:rPr>
        <w:t>CSR</w:t>
      </w:r>
      <w:r w:rsidRPr="00475D94">
        <w:t>,</w:t>
      </w:r>
      <w:r w:rsidRPr="00475D94">
        <w:rPr>
          <w:spacing w:val="3"/>
        </w:rPr>
        <w:t xml:space="preserve"> </w:t>
      </w:r>
      <w:r w:rsidRPr="00475D94">
        <w:t>if</w:t>
      </w:r>
      <w:r w:rsidRPr="00475D94">
        <w:rPr>
          <w:spacing w:val="3"/>
        </w:rPr>
        <w:t xml:space="preserve"> </w:t>
      </w:r>
      <w:r w:rsidRPr="00475D94">
        <w:rPr>
          <w:spacing w:val="-1"/>
        </w:rPr>
        <w:t>required</w:t>
      </w:r>
      <w:r w:rsidRPr="00475D94">
        <w:rPr>
          <w:spacing w:val="3"/>
        </w:rPr>
        <w:t xml:space="preserve"> </w:t>
      </w:r>
      <w:r w:rsidRPr="00475D94">
        <w:t>by</w:t>
      </w:r>
      <w:r w:rsidRPr="00475D94">
        <w:rPr>
          <w:spacing w:val="3"/>
        </w:rPr>
        <w:t xml:space="preserve"> </w:t>
      </w:r>
      <w:r w:rsidRPr="00475D94">
        <w:t>REACH,</w:t>
      </w:r>
      <w:r w:rsidRPr="00475D94">
        <w:rPr>
          <w:spacing w:val="4"/>
        </w:rPr>
        <w:t xml:space="preserve"> </w:t>
      </w:r>
      <w:r w:rsidRPr="00475D94">
        <w:t>will</w:t>
      </w:r>
      <w:r w:rsidRPr="00475D94">
        <w:rPr>
          <w:spacing w:val="61"/>
          <w:w w:val="99"/>
        </w:rPr>
        <w:t xml:space="preserve"> </w:t>
      </w:r>
      <w:r w:rsidRPr="00475D94">
        <w:t>always</w:t>
      </w:r>
      <w:r w:rsidRPr="00475D94">
        <w:rPr>
          <w:spacing w:val="-7"/>
        </w:rPr>
        <w:t xml:space="preserve"> </w:t>
      </w:r>
      <w:r w:rsidRPr="00475D94">
        <w:t>have</w:t>
      </w:r>
      <w:r w:rsidRPr="00475D94">
        <w:rPr>
          <w:spacing w:val="-5"/>
        </w:rPr>
        <w:t xml:space="preserve"> </w:t>
      </w:r>
      <w:r w:rsidRPr="00475D94">
        <w:t>to</w:t>
      </w:r>
      <w:r w:rsidRPr="00475D94">
        <w:rPr>
          <w:spacing w:val="-6"/>
        </w:rPr>
        <w:t xml:space="preserve"> </w:t>
      </w:r>
      <w:r w:rsidRPr="00475D94">
        <w:t>be</w:t>
      </w:r>
      <w:r w:rsidRPr="00475D94">
        <w:rPr>
          <w:spacing w:val="-7"/>
        </w:rPr>
        <w:t xml:space="preserve"> </w:t>
      </w:r>
      <w:r w:rsidRPr="00475D94">
        <w:t>submitted</w:t>
      </w:r>
      <w:r w:rsidRPr="00475D94">
        <w:rPr>
          <w:spacing w:val="-6"/>
        </w:rPr>
        <w:t xml:space="preserve"> </w:t>
      </w:r>
      <w:r w:rsidRPr="00475D94">
        <w:rPr>
          <w:spacing w:val="-1"/>
        </w:rPr>
        <w:t>individually</w:t>
      </w:r>
      <w:r w:rsidRPr="00475D94">
        <w:rPr>
          <w:spacing w:val="-6"/>
        </w:rPr>
        <w:t xml:space="preserve"> </w:t>
      </w:r>
      <w:r w:rsidRPr="00475D94">
        <w:t>by</w:t>
      </w:r>
      <w:r w:rsidRPr="00475D94">
        <w:rPr>
          <w:spacing w:val="-6"/>
        </w:rPr>
        <w:t xml:space="preserve"> </w:t>
      </w:r>
      <w:r w:rsidRPr="00475D94">
        <w:t>each</w:t>
      </w:r>
      <w:r w:rsidRPr="00475D94">
        <w:rPr>
          <w:spacing w:val="-7"/>
        </w:rPr>
        <w:t xml:space="preserve"> </w:t>
      </w:r>
      <w:r w:rsidRPr="00475D94">
        <w:t>Party.</w:t>
      </w:r>
    </w:p>
    <w:p w:rsidR="00994A7E" w:rsidRPr="008627F7" w:rsidRDefault="00994A7E" w:rsidP="008627F7">
      <w:pPr>
        <w:pStyle w:val="Paragraph"/>
        <w:numPr>
          <w:ilvl w:val="1"/>
          <w:numId w:val="14"/>
        </w:numPr>
        <w:rPr>
          <w:sz w:val="21"/>
        </w:rPr>
      </w:pPr>
      <w:r w:rsidRPr="008627F7">
        <w:t>The</w:t>
      </w:r>
      <w:r w:rsidRPr="008627F7">
        <w:rPr>
          <w:spacing w:val="19"/>
        </w:rPr>
        <w:t xml:space="preserve"> </w:t>
      </w:r>
      <w:r w:rsidRPr="008627F7">
        <w:t>participation</w:t>
      </w:r>
      <w:r w:rsidRPr="008627F7">
        <w:rPr>
          <w:spacing w:val="19"/>
        </w:rPr>
        <w:t xml:space="preserve"> </w:t>
      </w:r>
      <w:r w:rsidRPr="008627F7">
        <w:t>in</w:t>
      </w:r>
      <w:r w:rsidRPr="008627F7">
        <w:rPr>
          <w:spacing w:val="20"/>
        </w:rPr>
        <w:t xml:space="preserve"> </w:t>
      </w:r>
      <w:r w:rsidRPr="008627F7">
        <w:rPr>
          <w:spacing w:val="-1"/>
        </w:rPr>
        <w:t>the</w:t>
      </w:r>
      <w:r w:rsidRPr="008627F7">
        <w:rPr>
          <w:spacing w:val="19"/>
        </w:rPr>
        <w:t xml:space="preserve"> </w:t>
      </w:r>
      <w:r w:rsidRPr="008627F7">
        <w:t>Joint</w:t>
      </w:r>
      <w:r w:rsidRPr="008627F7">
        <w:rPr>
          <w:spacing w:val="20"/>
        </w:rPr>
        <w:t xml:space="preserve"> </w:t>
      </w:r>
      <w:r w:rsidRPr="008627F7">
        <w:rPr>
          <w:spacing w:val="-1"/>
        </w:rPr>
        <w:t>Registration</w:t>
      </w:r>
      <w:r w:rsidRPr="008627F7">
        <w:rPr>
          <w:spacing w:val="20"/>
        </w:rPr>
        <w:t xml:space="preserve"> </w:t>
      </w:r>
      <w:r w:rsidRPr="008627F7">
        <w:rPr>
          <w:spacing w:val="-1"/>
        </w:rPr>
        <w:t>Dossier</w:t>
      </w:r>
      <w:r w:rsidRPr="008627F7">
        <w:rPr>
          <w:spacing w:val="20"/>
        </w:rPr>
        <w:t xml:space="preserve"> </w:t>
      </w:r>
      <w:r w:rsidRPr="008627F7">
        <w:t>may</w:t>
      </w:r>
      <w:r w:rsidRPr="008627F7">
        <w:rPr>
          <w:spacing w:val="20"/>
        </w:rPr>
        <w:t xml:space="preserve"> </w:t>
      </w:r>
      <w:r w:rsidRPr="008627F7">
        <w:t>deviate</w:t>
      </w:r>
      <w:r w:rsidRPr="008627F7">
        <w:rPr>
          <w:spacing w:val="20"/>
        </w:rPr>
        <w:t xml:space="preserve"> </w:t>
      </w:r>
      <w:r w:rsidRPr="008627F7">
        <w:t>per</w:t>
      </w:r>
      <w:r w:rsidRPr="008627F7">
        <w:rPr>
          <w:spacing w:val="19"/>
        </w:rPr>
        <w:t xml:space="preserve"> </w:t>
      </w:r>
      <w:r w:rsidRPr="008627F7">
        <w:t>requesting</w:t>
      </w:r>
      <w:r w:rsidRPr="008627F7">
        <w:rPr>
          <w:spacing w:val="19"/>
        </w:rPr>
        <w:t xml:space="preserve"> </w:t>
      </w:r>
      <w:r w:rsidRPr="008627F7">
        <w:t>Non-Lead Member according to its tonnage band or possible opt-outs for certain endpoints.</w:t>
      </w:r>
    </w:p>
    <w:p w:rsidR="00994A7E" w:rsidRPr="008627F7" w:rsidRDefault="00994A7E" w:rsidP="008627F7">
      <w:pPr>
        <w:pStyle w:val="Paragraph"/>
        <w:numPr>
          <w:ilvl w:val="1"/>
          <w:numId w:val="14"/>
        </w:numPr>
      </w:pPr>
      <w:bookmarkStart w:id="21" w:name="_Ref6935696"/>
      <w:r w:rsidRPr="008627F7">
        <w:t xml:space="preserve">If the </w:t>
      </w:r>
      <w:r w:rsidRPr="008627F7">
        <w:rPr>
          <w:rFonts w:eastAsia="Arial"/>
        </w:rPr>
        <w:t>Non-Lead</w:t>
      </w:r>
      <w:r w:rsidRPr="008627F7">
        <w:t xml:space="preserve"> Member requests the submission of the Joint Registration Dossier on behalf of an Affiliate, the </w:t>
      </w:r>
      <w:r w:rsidRPr="008627F7">
        <w:rPr>
          <w:rFonts w:eastAsia="Arial"/>
        </w:rPr>
        <w:t>Non-Lead</w:t>
      </w:r>
      <w:r w:rsidRPr="008627F7">
        <w:t xml:space="preserve"> Member shall notify the Lead Registrant with its </w:t>
      </w:r>
      <w:r w:rsidR="00164842">
        <w:t xml:space="preserve">Affiliate’s </w:t>
      </w:r>
      <w:r w:rsidRPr="008627F7">
        <w:t xml:space="preserve">name, address and other relevant data documenting </w:t>
      </w:r>
      <w:r w:rsidR="00164842">
        <w:t>the</w:t>
      </w:r>
      <w:r w:rsidR="00164842" w:rsidRPr="008627F7">
        <w:t xml:space="preserve"> </w:t>
      </w:r>
      <w:r w:rsidRPr="008627F7">
        <w:t>status of Affiliate</w:t>
      </w:r>
      <w:r w:rsidRPr="00FF32BF">
        <w:rPr>
          <w:rFonts w:eastAsia="Arial"/>
        </w:rPr>
        <w:t>.</w:t>
      </w:r>
      <w:r w:rsidRPr="008627F7">
        <w:rPr>
          <w:rFonts w:eastAsia="Arial"/>
        </w:rPr>
        <w:t xml:space="preserve"> Upon receipt of such information, the Lead Registrant shall </w:t>
      </w:r>
      <w:r>
        <w:rPr>
          <w:rFonts w:eastAsia="Arial"/>
        </w:rPr>
        <w:t>transfer the token for</w:t>
      </w:r>
      <w:r w:rsidRPr="008627F7">
        <w:rPr>
          <w:rFonts w:eastAsia="Arial"/>
        </w:rPr>
        <w:t xml:space="preserve"> the </w:t>
      </w:r>
      <w:r>
        <w:rPr>
          <w:rFonts w:eastAsia="Arial"/>
        </w:rPr>
        <w:t>access</w:t>
      </w:r>
      <w:r w:rsidRPr="008627F7">
        <w:rPr>
          <w:rFonts w:eastAsia="Arial"/>
        </w:rPr>
        <w:t xml:space="preserve"> to the Joint Submission </w:t>
      </w:r>
      <w:r w:rsidR="00164842">
        <w:rPr>
          <w:rFonts w:eastAsia="Arial"/>
        </w:rPr>
        <w:t>to the Non-Lead Member for</w:t>
      </w:r>
      <w:r w:rsidRPr="008627F7">
        <w:rPr>
          <w:rFonts w:eastAsia="Arial"/>
        </w:rPr>
        <w:t xml:space="preserve"> such Affiliate</w:t>
      </w:r>
      <w:r>
        <w:rPr>
          <w:rFonts w:eastAsia="Arial"/>
        </w:rPr>
        <w:t>.</w:t>
      </w:r>
      <w:bookmarkEnd w:id="21"/>
    </w:p>
    <w:p w:rsidR="00994A7E" w:rsidRPr="008627F7" w:rsidRDefault="00994A7E" w:rsidP="008627F7">
      <w:pPr>
        <w:pStyle w:val="Paragraph"/>
        <w:numPr>
          <w:ilvl w:val="1"/>
          <w:numId w:val="14"/>
        </w:numPr>
      </w:pPr>
      <w:bookmarkStart w:id="22" w:name="_Ref6935715"/>
      <w:r w:rsidRPr="008627F7">
        <w:t xml:space="preserve">If the </w:t>
      </w:r>
      <w:r w:rsidRPr="008627F7">
        <w:rPr>
          <w:rFonts w:eastAsia="Arial"/>
        </w:rPr>
        <w:t>Non-Lead</w:t>
      </w:r>
      <w:r w:rsidRPr="008627F7">
        <w:t xml:space="preserve"> Member is </w:t>
      </w:r>
      <w:r w:rsidRPr="00FF32BF">
        <w:rPr>
          <w:rFonts w:eastAsia="Arial"/>
        </w:rPr>
        <w:t>an Only Representative</w:t>
      </w:r>
      <w:r w:rsidRPr="008627F7">
        <w:t xml:space="preserve"> and requests the submission of the Joint Registration Dossier on behalf of a legal entity represented by him in the SIEF, the </w:t>
      </w:r>
      <w:r w:rsidRPr="008627F7">
        <w:rPr>
          <w:rFonts w:eastAsia="Arial"/>
        </w:rPr>
        <w:t>Non-Lead</w:t>
      </w:r>
      <w:r w:rsidRPr="008627F7">
        <w:t xml:space="preserve"> Member shall notify the Lead Registrant under confidentiality obligations with the name, address and other relevant data of the represented legal entity</w:t>
      </w:r>
      <w:r w:rsidRPr="00FF32BF">
        <w:t>.</w:t>
      </w:r>
      <w:r w:rsidRPr="008627F7">
        <w:t xml:space="preserve"> </w:t>
      </w:r>
      <w:r w:rsidRPr="008627F7">
        <w:rPr>
          <w:rFonts w:eastAsia="Arial"/>
        </w:rPr>
        <w:t xml:space="preserve">Upon receipt of such information, the Lead Registrant shall </w:t>
      </w:r>
      <w:r>
        <w:rPr>
          <w:rFonts w:eastAsia="Arial"/>
        </w:rPr>
        <w:t>transfer the token</w:t>
      </w:r>
      <w:r w:rsidRPr="008627F7">
        <w:rPr>
          <w:rFonts w:eastAsia="Arial"/>
        </w:rPr>
        <w:t xml:space="preserve"> to the </w:t>
      </w:r>
      <w:r>
        <w:rPr>
          <w:rFonts w:eastAsia="Arial"/>
        </w:rPr>
        <w:t>Only Representative for its access</w:t>
      </w:r>
      <w:r w:rsidRPr="008627F7">
        <w:rPr>
          <w:rFonts w:eastAsia="Arial"/>
        </w:rPr>
        <w:t xml:space="preserve"> to the Joint Submission </w:t>
      </w:r>
      <w:r>
        <w:rPr>
          <w:rFonts w:eastAsia="Arial"/>
        </w:rPr>
        <w:t>on behalf of the represented</w:t>
      </w:r>
      <w:r w:rsidRPr="008627F7">
        <w:rPr>
          <w:rFonts w:eastAsia="Arial"/>
        </w:rPr>
        <w:t xml:space="preserve"> legal </w:t>
      </w:r>
      <w:r>
        <w:rPr>
          <w:rFonts w:eastAsia="Arial"/>
        </w:rPr>
        <w:t>entity</w:t>
      </w:r>
      <w:r w:rsidRPr="00FF32BF">
        <w:rPr>
          <w:rFonts w:eastAsia="Arial"/>
        </w:rPr>
        <w:t>.</w:t>
      </w:r>
      <w:bookmarkEnd w:id="22"/>
    </w:p>
    <w:p w:rsidR="00994A7E" w:rsidRPr="00FF32BF" w:rsidRDefault="00994A7E" w:rsidP="00994A7E">
      <w:pPr>
        <w:pStyle w:val="Paragraph"/>
        <w:numPr>
          <w:ilvl w:val="1"/>
          <w:numId w:val="14"/>
        </w:numPr>
      </w:pPr>
      <w:r w:rsidRPr="00FF32BF">
        <w:t>If</w:t>
      </w:r>
      <w:r w:rsidRPr="00FF32BF">
        <w:rPr>
          <w:spacing w:val="43"/>
        </w:rPr>
        <w:t xml:space="preserve"> </w:t>
      </w:r>
      <w:r w:rsidRPr="00FF32BF">
        <w:t>Non-Lead Member</w:t>
      </w:r>
      <w:r w:rsidRPr="00FF32BF">
        <w:rPr>
          <w:spacing w:val="44"/>
        </w:rPr>
        <w:t xml:space="preserve"> </w:t>
      </w:r>
      <w:r w:rsidRPr="00FF32BF">
        <w:t>is</w:t>
      </w:r>
      <w:r w:rsidRPr="00FF32BF">
        <w:rPr>
          <w:spacing w:val="43"/>
        </w:rPr>
        <w:t xml:space="preserve"> </w:t>
      </w:r>
      <w:r w:rsidRPr="00FF32BF">
        <w:t>a</w:t>
      </w:r>
      <w:r w:rsidRPr="00FF32BF">
        <w:rPr>
          <w:spacing w:val="44"/>
        </w:rPr>
        <w:t xml:space="preserve"> </w:t>
      </w:r>
      <w:r w:rsidRPr="00FF32BF">
        <w:t>Third</w:t>
      </w:r>
      <w:r w:rsidRPr="00FF32BF">
        <w:rPr>
          <w:spacing w:val="43"/>
        </w:rPr>
        <w:t xml:space="preserve"> </w:t>
      </w:r>
      <w:r w:rsidRPr="00FF32BF">
        <w:t>Party</w:t>
      </w:r>
      <w:r w:rsidRPr="00FF32BF">
        <w:rPr>
          <w:spacing w:val="44"/>
        </w:rPr>
        <w:t xml:space="preserve"> </w:t>
      </w:r>
      <w:r w:rsidRPr="00FF32BF">
        <w:t>Representative</w:t>
      </w:r>
      <w:r w:rsidRPr="00FF32BF">
        <w:rPr>
          <w:spacing w:val="44"/>
        </w:rPr>
        <w:t xml:space="preserve"> </w:t>
      </w:r>
      <w:r w:rsidRPr="00FF32BF">
        <w:t>and</w:t>
      </w:r>
      <w:r w:rsidRPr="00FF32BF">
        <w:rPr>
          <w:spacing w:val="44"/>
        </w:rPr>
        <w:t xml:space="preserve"> </w:t>
      </w:r>
      <w:r w:rsidRPr="00FF32BF">
        <w:t>requests</w:t>
      </w:r>
      <w:r w:rsidRPr="00FF32BF">
        <w:rPr>
          <w:spacing w:val="43"/>
        </w:rPr>
        <w:t xml:space="preserve"> </w:t>
      </w:r>
      <w:r w:rsidRPr="00FF32BF">
        <w:t>the</w:t>
      </w:r>
      <w:r w:rsidRPr="00FF32BF">
        <w:rPr>
          <w:spacing w:val="44"/>
        </w:rPr>
        <w:t xml:space="preserve"> </w:t>
      </w:r>
      <w:r w:rsidRPr="00FF32BF">
        <w:t>membership</w:t>
      </w:r>
      <w:r w:rsidRPr="00FF32BF">
        <w:rPr>
          <w:spacing w:val="43"/>
        </w:rPr>
        <w:t xml:space="preserve"> </w:t>
      </w:r>
      <w:r w:rsidRPr="00FF32BF">
        <w:t>to</w:t>
      </w:r>
      <w:r w:rsidRPr="00FF32BF">
        <w:rPr>
          <w:spacing w:val="44"/>
        </w:rPr>
        <w:t xml:space="preserve"> </w:t>
      </w:r>
      <w:r w:rsidRPr="00FF32BF">
        <w:t>the</w:t>
      </w:r>
      <w:r w:rsidRPr="00FF32BF">
        <w:rPr>
          <w:spacing w:val="43"/>
        </w:rPr>
        <w:t xml:space="preserve"> </w:t>
      </w:r>
      <w:r w:rsidRPr="00FF32BF">
        <w:rPr>
          <w:rFonts w:eastAsia="Arial"/>
        </w:rPr>
        <w:t>Joint</w:t>
      </w:r>
      <w:r w:rsidRPr="00FF32BF">
        <w:rPr>
          <w:spacing w:val="22"/>
          <w:w w:val="99"/>
        </w:rPr>
        <w:t xml:space="preserve"> </w:t>
      </w:r>
      <w:r w:rsidRPr="00FF32BF">
        <w:t>Registration</w:t>
      </w:r>
      <w:r w:rsidRPr="00FF32BF">
        <w:rPr>
          <w:spacing w:val="58"/>
        </w:rPr>
        <w:t xml:space="preserve"> </w:t>
      </w:r>
      <w:r w:rsidRPr="00FF32BF">
        <w:t>Dossier</w:t>
      </w:r>
      <w:r w:rsidRPr="00FF32BF">
        <w:rPr>
          <w:spacing w:val="59"/>
        </w:rPr>
        <w:t xml:space="preserve"> </w:t>
      </w:r>
      <w:r w:rsidRPr="00FF32BF">
        <w:rPr>
          <w:spacing w:val="-1"/>
        </w:rPr>
        <w:t>on</w:t>
      </w:r>
      <w:r w:rsidRPr="00FF32BF">
        <w:rPr>
          <w:spacing w:val="60"/>
        </w:rPr>
        <w:t xml:space="preserve"> </w:t>
      </w:r>
      <w:r w:rsidRPr="00FF32BF">
        <w:t>behalf</w:t>
      </w:r>
      <w:r w:rsidRPr="00FF32BF">
        <w:rPr>
          <w:spacing w:val="59"/>
        </w:rPr>
        <w:t xml:space="preserve"> </w:t>
      </w:r>
      <w:r w:rsidRPr="00FF32BF">
        <w:t>of</w:t>
      </w:r>
      <w:r w:rsidRPr="00FF32BF">
        <w:rPr>
          <w:spacing w:val="58"/>
        </w:rPr>
        <w:t xml:space="preserve"> </w:t>
      </w:r>
      <w:r w:rsidRPr="00FF32BF">
        <w:t>a</w:t>
      </w:r>
      <w:r w:rsidRPr="00FF32BF">
        <w:rPr>
          <w:spacing w:val="59"/>
        </w:rPr>
        <w:t xml:space="preserve"> </w:t>
      </w:r>
      <w:r w:rsidRPr="00FF32BF">
        <w:t>legal</w:t>
      </w:r>
      <w:r w:rsidRPr="00FF32BF">
        <w:rPr>
          <w:spacing w:val="59"/>
        </w:rPr>
        <w:t xml:space="preserve"> </w:t>
      </w:r>
      <w:r w:rsidRPr="00FF32BF">
        <w:rPr>
          <w:spacing w:val="-1"/>
        </w:rPr>
        <w:t>entity</w:t>
      </w:r>
      <w:r w:rsidRPr="00FF32BF">
        <w:rPr>
          <w:spacing w:val="60"/>
        </w:rPr>
        <w:t xml:space="preserve"> </w:t>
      </w:r>
      <w:r w:rsidRPr="00FF32BF">
        <w:t>represented</w:t>
      </w:r>
      <w:r w:rsidRPr="00FF32BF">
        <w:rPr>
          <w:spacing w:val="59"/>
        </w:rPr>
        <w:t xml:space="preserve"> </w:t>
      </w:r>
      <w:r w:rsidRPr="00FF32BF">
        <w:t>by</w:t>
      </w:r>
      <w:r w:rsidRPr="00FF32BF">
        <w:rPr>
          <w:spacing w:val="60"/>
        </w:rPr>
        <w:t xml:space="preserve"> </w:t>
      </w:r>
      <w:r w:rsidRPr="00FF32BF">
        <w:t>him</w:t>
      </w:r>
      <w:r w:rsidRPr="00FF32BF">
        <w:rPr>
          <w:spacing w:val="59"/>
        </w:rPr>
        <w:t xml:space="preserve"> </w:t>
      </w:r>
      <w:r w:rsidRPr="00FF32BF">
        <w:t>in</w:t>
      </w:r>
      <w:r w:rsidRPr="00FF32BF">
        <w:rPr>
          <w:spacing w:val="59"/>
        </w:rPr>
        <w:t xml:space="preserve"> </w:t>
      </w:r>
      <w:r w:rsidRPr="00FF32BF">
        <w:t>the</w:t>
      </w:r>
      <w:r w:rsidRPr="00FF32BF">
        <w:rPr>
          <w:spacing w:val="60"/>
        </w:rPr>
        <w:t xml:space="preserve"> </w:t>
      </w:r>
      <w:r w:rsidRPr="00FF32BF">
        <w:t>SIEF,</w:t>
      </w:r>
      <w:r w:rsidRPr="00FF32BF">
        <w:rPr>
          <w:spacing w:val="26"/>
          <w:w w:val="99"/>
        </w:rPr>
        <w:t xml:space="preserve"> </w:t>
      </w:r>
      <w:r w:rsidRPr="00FF32BF">
        <w:t>the Non-Lead Member may notify the Lead Registrant</w:t>
      </w:r>
      <w:r w:rsidRPr="00FF32BF">
        <w:rPr>
          <w:spacing w:val="6"/>
        </w:rPr>
        <w:t xml:space="preserve">, </w:t>
      </w:r>
      <w:r w:rsidRPr="00FF32BF">
        <w:t>under appropriate</w:t>
      </w:r>
      <w:r w:rsidRPr="00FF32BF">
        <w:rPr>
          <w:spacing w:val="7"/>
        </w:rPr>
        <w:t xml:space="preserve"> </w:t>
      </w:r>
      <w:r w:rsidRPr="00FF32BF">
        <w:rPr>
          <w:spacing w:val="-1"/>
        </w:rPr>
        <w:t>confidentiality</w:t>
      </w:r>
      <w:r w:rsidRPr="00FF32BF">
        <w:rPr>
          <w:spacing w:val="6"/>
        </w:rPr>
        <w:t xml:space="preserve"> </w:t>
      </w:r>
      <w:r w:rsidRPr="00FF32BF">
        <w:t>obligations,</w:t>
      </w:r>
      <w:r w:rsidRPr="00FF32BF">
        <w:rPr>
          <w:spacing w:val="6"/>
        </w:rPr>
        <w:t xml:space="preserve"> </w:t>
      </w:r>
      <w:r w:rsidRPr="00FF32BF">
        <w:t>with</w:t>
      </w:r>
      <w:r w:rsidRPr="00FF32BF">
        <w:rPr>
          <w:spacing w:val="6"/>
        </w:rPr>
        <w:t xml:space="preserve"> </w:t>
      </w:r>
      <w:r w:rsidRPr="00FF32BF">
        <w:t>the</w:t>
      </w:r>
      <w:r w:rsidRPr="00FF32BF">
        <w:rPr>
          <w:spacing w:val="6"/>
        </w:rPr>
        <w:t xml:space="preserve"> </w:t>
      </w:r>
      <w:r w:rsidRPr="00FF32BF">
        <w:t>name, address and other relevant data of the represented legal entity</w:t>
      </w:r>
      <w:r>
        <w:t>.</w:t>
      </w:r>
      <w:r w:rsidRPr="00FF32BF">
        <w:t xml:space="preserve"> Upon receipt of such information, </w:t>
      </w:r>
      <w:r>
        <w:rPr>
          <w:rFonts w:eastAsia="Arial"/>
        </w:rPr>
        <w:t xml:space="preserve">the Lead Registrant shall transfer the token to the Third Party Representative for </w:t>
      </w:r>
      <w:r w:rsidR="006421CB">
        <w:rPr>
          <w:rFonts w:eastAsia="Arial"/>
        </w:rPr>
        <w:t xml:space="preserve">the </w:t>
      </w:r>
      <w:r>
        <w:rPr>
          <w:rFonts w:eastAsia="Arial"/>
        </w:rPr>
        <w:t xml:space="preserve">access to the Joint Submission </w:t>
      </w:r>
      <w:r w:rsidR="006421CB">
        <w:rPr>
          <w:rFonts w:eastAsia="Arial"/>
        </w:rPr>
        <w:t xml:space="preserve">by </w:t>
      </w:r>
      <w:r>
        <w:rPr>
          <w:rFonts w:eastAsia="Arial"/>
        </w:rPr>
        <w:t>the represented legal entity</w:t>
      </w:r>
      <w:r w:rsidRPr="00FF32BF">
        <w:t>.</w:t>
      </w:r>
    </w:p>
    <w:p w:rsidR="00994A7E" w:rsidRPr="008627F7" w:rsidRDefault="00994A7E" w:rsidP="008627F7">
      <w:pPr>
        <w:pStyle w:val="Paragraph"/>
        <w:numPr>
          <w:ilvl w:val="1"/>
          <w:numId w:val="14"/>
        </w:numPr>
      </w:pPr>
      <w:r w:rsidRPr="008627F7">
        <w:t xml:space="preserve">The Lead Registrant </w:t>
      </w:r>
      <w:r>
        <w:t>has</w:t>
      </w:r>
      <w:r w:rsidRPr="005840E6">
        <w:t xml:space="preserve"> open</w:t>
      </w:r>
      <w:r>
        <w:t>ed</w:t>
      </w:r>
      <w:r w:rsidRPr="008627F7">
        <w:t xml:space="preserve"> a joint submission object in REACH-IT</w:t>
      </w:r>
      <w:r w:rsidRPr="005840E6">
        <w:t xml:space="preserve"> and, in </w:t>
      </w:r>
      <w:r w:rsidRPr="008627F7">
        <w:t xml:space="preserve">accordance to Article 11 (4) </w:t>
      </w:r>
      <w:r w:rsidRPr="005840E6">
        <w:t xml:space="preserve">of </w:t>
      </w:r>
      <w:r w:rsidRPr="008627F7">
        <w:t>REACH</w:t>
      </w:r>
      <w:r w:rsidRPr="005840E6">
        <w:t xml:space="preserve">, </w:t>
      </w:r>
      <w:r>
        <w:t>has</w:t>
      </w:r>
      <w:r w:rsidRPr="005840E6">
        <w:t xml:space="preserve"> </w:t>
      </w:r>
      <w:r>
        <w:t>paid</w:t>
      </w:r>
      <w:r w:rsidRPr="005840E6">
        <w:t xml:space="preserve"> the registration fee</w:t>
      </w:r>
      <w:r w:rsidRPr="008627F7">
        <w:t xml:space="preserve"> as invoiced by the Agency for the submission of the Joint Registration Dossier</w:t>
      </w:r>
      <w:r w:rsidRPr="005840E6">
        <w:t>.</w:t>
      </w:r>
    </w:p>
    <w:p w:rsidR="00994A7E" w:rsidRPr="008627F7" w:rsidRDefault="00994A7E" w:rsidP="008627F7">
      <w:pPr>
        <w:pStyle w:val="Paragraph"/>
        <w:numPr>
          <w:ilvl w:val="1"/>
          <w:numId w:val="14"/>
        </w:numPr>
      </w:pPr>
      <w:r w:rsidRPr="008627F7">
        <w:t xml:space="preserve">The Lead Registrant shall make available the data referred to in Article 11 (1) paragraph 2 </w:t>
      </w:r>
      <w:r w:rsidRPr="005840E6">
        <w:t>or Art</w:t>
      </w:r>
      <w:r>
        <w:t>icle</w:t>
      </w:r>
      <w:r w:rsidRPr="005840E6">
        <w:t xml:space="preserve"> 19 (1) paragraph 2 of REACH </w:t>
      </w:r>
      <w:r w:rsidRPr="008627F7">
        <w:t xml:space="preserve">that have been submitted in the </w:t>
      </w:r>
      <w:r w:rsidRPr="005840E6">
        <w:t>Joint Submission</w:t>
      </w:r>
      <w:r w:rsidRPr="006421CB">
        <w:rPr>
          <w:color w:val="000000"/>
          <w:lang w:eastAsia="fr-FR"/>
        </w:rPr>
        <w:t xml:space="preserve"> </w:t>
      </w:r>
      <w:r w:rsidR="006421CB" w:rsidRPr="006421CB">
        <w:rPr>
          <w:color w:val="000000"/>
          <w:lang w:eastAsia="fr-FR"/>
        </w:rPr>
        <w:t>(</w:t>
      </w:r>
      <w:r w:rsidRPr="007E7E70">
        <w:rPr>
          <w:color w:val="000000"/>
        </w:rPr>
        <w:t xml:space="preserve">and when applicable the </w:t>
      </w:r>
      <w:r w:rsidRPr="007E7E70">
        <w:rPr>
          <w:color w:val="000000"/>
          <w:lang w:eastAsia="fr-FR"/>
        </w:rPr>
        <w:t>CSR as defined according</w:t>
      </w:r>
      <w:r w:rsidRPr="007E7E70">
        <w:rPr>
          <w:color w:val="000000"/>
        </w:rPr>
        <w:t xml:space="preserve"> to </w:t>
      </w:r>
      <w:r w:rsidRPr="007E7E70">
        <w:rPr>
          <w:color w:val="000000"/>
          <w:lang w:eastAsia="fr-FR"/>
        </w:rPr>
        <w:fldChar w:fldCharType="begin"/>
      </w:r>
      <w:r w:rsidRPr="007E7E70">
        <w:rPr>
          <w:color w:val="000000"/>
          <w:lang w:eastAsia="fr-FR"/>
        </w:rPr>
        <w:instrText xml:space="preserve"> REF _Ref6935659 \r \h </w:instrText>
      </w:r>
      <w:r w:rsidR="006421CB" w:rsidRPr="007E7E70">
        <w:rPr>
          <w:color w:val="000000"/>
          <w:lang w:eastAsia="fr-FR"/>
        </w:rPr>
        <w:instrText xml:space="preserve"> \* MERGEFORMAT </w:instrText>
      </w:r>
      <w:r w:rsidRPr="007E7E70">
        <w:rPr>
          <w:color w:val="000000"/>
          <w:lang w:eastAsia="fr-FR"/>
        </w:rPr>
      </w:r>
      <w:r w:rsidRPr="007E7E70">
        <w:rPr>
          <w:color w:val="000000"/>
          <w:lang w:eastAsia="fr-FR"/>
        </w:rPr>
        <w:fldChar w:fldCharType="separate"/>
      </w:r>
      <w:r w:rsidRPr="007E7E70">
        <w:rPr>
          <w:color w:val="000000"/>
          <w:lang w:eastAsia="fr-FR"/>
        </w:rPr>
        <w:t>Article I</w:t>
      </w:r>
      <w:r w:rsidRPr="007E7E70">
        <w:rPr>
          <w:color w:val="000000"/>
          <w:lang w:eastAsia="fr-FR"/>
        </w:rPr>
        <w:fldChar w:fldCharType="end"/>
      </w:r>
      <w:r w:rsidRPr="007E7E70">
        <w:rPr>
          <w:color w:val="000000"/>
          <w:lang w:eastAsia="fr-FR"/>
        </w:rPr>
        <w:t xml:space="preserve"> of this Agreement</w:t>
      </w:r>
      <w:r w:rsidR="006421CB" w:rsidRPr="006421CB">
        <w:rPr>
          <w:color w:val="000000"/>
          <w:lang w:eastAsia="fr-FR"/>
        </w:rPr>
        <w:t>)</w:t>
      </w:r>
      <w:r w:rsidRPr="006421CB">
        <w:t>,</w:t>
      </w:r>
      <w:r w:rsidRPr="008627F7">
        <w:t xml:space="preserve"> to the Non-Lead Member and/or Non-Lead Member’s Affiliate notified under </w:t>
      </w:r>
      <w:r>
        <w:t>Paragraph</w:t>
      </w:r>
      <w:r w:rsidRPr="008627F7">
        <w:t xml:space="preserve"> VI.4 of this Agreement, provided the Non-Lead Member </w:t>
      </w:r>
      <w:r w:rsidRPr="005840E6">
        <w:t xml:space="preserve">and/or the Non-Lead Member’s Affiliate has/have </w:t>
      </w:r>
      <w:r w:rsidRPr="008627F7">
        <w:t xml:space="preserve">fulfilled </w:t>
      </w:r>
      <w:r w:rsidRPr="005840E6">
        <w:t>the relevant</w:t>
      </w:r>
      <w:r w:rsidRPr="008627F7">
        <w:t xml:space="preserve"> obligations under </w:t>
      </w:r>
      <w:r>
        <w:fldChar w:fldCharType="begin"/>
      </w:r>
      <w:r>
        <w:instrText xml:space="preserve"> REF _Ref6935638 \r \h </w:instrText>
      </w:r>
      <w:r>
        <w:fldChar w:fldCharType="separate"/>
      </w:r>
      <w:r>
        <w:t>Article IX</w:t>
      </w:r>
      <w:r>
        <w:fldChar w:fldCharType="end"/>
      </w:r>
      <w:r w:rsidRPr="008627F7">
        <w:t xml:space="preserve"> of this Agreement.</w:t>
      </w:r>
    </w:p>
    <w:p w:rsidR="00994A7E" w:rsidRPr="00CF73CE" w:rsidRDefault="00994A7E" w:rsidP="00CB3EF0">
      <w:pPr>
        <w:pStyle w:val="Heading2"/>
        <w:ind w:left="0" w:firstLine="0"/>
      </w:pPr>
      <w:bookmarkStart w:id="23" w:name="Article_VII._Grant_of_right_to_use_the_("/>
      <w:bookmarkStart w:id="24" w:name="_Ref6935741"/>
      <w:bookmarkEnd w:id="23"/>
      <w:r w:rsidRPr="00CF73CE">
        <w:t>Grant of right</w:t>
      </w:r>
      <w:r w:rsidRPr="008627F7">
        <w:rPr>
          <w:spacing w:val="10"/>
        </w:rPr>
        <w:t xml:space="preserve"> </w:t>
      </w:r>
      <w:r w:rsidRPr="00CF73CE">
        <w:t>to</w:t>
      </w:r>
      <w:r w:rsidRPr="008627F7">
        <w:rPr>
          <w:spacing w:val="10"/>
        </w:rPr>
        <w:t xml:space="preserve"> </w:t>
      </w:r>
      <w:r w:rsidRPr="00CF73CE">
        <w:t>use</w:t>
      </w:r>
      <w:r w:rsidRPr="008627F7">
        <w:rPr>
          <w:spacing w:val="10"/>
        </w:rPr>
        <w:t xml:space="preserve"> </w:t>
      </w:r>
      <w:r w:rsidRPr="00CF73CE">
        <w:t>the (robust)</w:t>
      </w:r>
      <w:r w:rsidRPr="008627F7">
        <w:rPr>
          <w:spacing w:val="10"/>
        </w:rPr>
        <w:t xml:space="preserve"> </w:t>
      </w:r>
      <w:r w:rsidR="00AD0816" w:rsidRPr="00CF73CE">
        <w:t>stud</w:t>
      </w:r>
      <w:r w:rsidR="00AD0816">
        <w:t>y</w:t>
      </w:r>
      <w:r w:rsidR="00AD0816" w:rsidRPr="008627F7">
        <w:rPr>
          <w:spacing w:val="10"/>
        </w:rPr>
        <w:t xml:space="preserve"> </w:t>
      </w:r>
      <w:r w:rsidRPr="00CF73CE">
        <w:t>summaries</w:t>
      </w:r>
      <w:r w:rsidRPr="008627F7">
        <w:rPr>
          <w:spacing w:val="10"/>
        </w:rPr>
        <w:t xml:space="preserve"> </w:t>
      </w:r>
      <w:r w:rsidRPr="00CF73CE">
        <w:t>in</w:t>
      </w:r>
      <w:r w:rsidRPr="008627F7">
        <w:rPr>
          <w:spacing w:val="11"/>
        </w:rPr>
        <w:t xml:space="preserve"> </w:t>
      </w:r>
      <w:r w:rsidRPr="00CF73CE">
        <w:t>the</w:t>
      </w:r>
      <w:r w:rsidRPr="008627F7">
        <w:rPr>
          <w:spacing w:val="9"/>
        </w:rPr>
        <w:t xml:space="preserve"> </w:t>
      </w:r>
      <w:r w:rsidRPr="00CF73CE">
        <w:t>Joint</w:t>
      </w:r>
      <w:r w:rsidRPr="008627F7">
        <w:rPr>
          <w:w w:val="99"/>
        </w:rPr>
        <w:t xml:space="preserve"> </w:t>
      </w:r>
      <w:r w:rsidRPr="00CF73CE">
        <w:t>Registration</w:t>
      </w:r>
      <w:r w:rsidRPr="008627F7">
        <w:rPr>
          <w:spacing w:val="-7"/>
        </w:rPr>
        <w:t xml:space="preserve"> </w:t>
      </w:r>
      <w:r w:rsidRPr="00CF73CE">
        <w:t>Dossier</w:t>
      </w:r>
      <w:r w:rsidRPr="008627F7">
        <w:rPr>
          <w:spacing w:val="-6"/>
        </w:rPr>
        <w:t xml:space="preserve"> </w:t>
      </w:r>
      <w:r w:rsidRPr="00CF73CE">
        <w:t>and</w:t>
      </w:r>
      <w:r w:rsidRPr="008627F7">
        <w:rPr>
          <w:spacing w:val="-6"/>
        </w:rPr>
        <w:t xml:space="preserve"> </w:t>
      </w:r>
      <w:r w:rsidRPr="00CF73CE">
        <w:t>to</w:t>
      </w:r>
      <w:r w:rsidRPr="008627F7">
        <w:rPr>
          <w:spacing w:val="-6"/>
        </w:rPr>
        <w:t xml:space="preserve"> </w:t>
      </w:r>
      <w:r w:rsidRPr="00CF73CE">
        <w:t>refer</w:t>
      </w:r>
      <w:r w:rsidRPr="008627F7">
        <w:rPr>
          <w:spacing w:val="-7"/>
        </w:rPr>
        <w:t xml:space="preserve"> </w:t>
      </w:r>
      <w:r w:rsidRPr="00CF73CE">
        <w:t>to</w:t>
      </w:r>
      <w:r w:rsidRPr="008627F7">
        <w:rPr>
          <w:spacing w:val="-6"/>
        </w:rPr>
        <w:t xml:space="preserve"> </w:t>
      </w:r>
      <w:r w:rsidRPr="00CF73CE">
        <w:t>the</w:t>
      </w:r>
      <w:r w:rsidRPr="008627F7">
        <w:rPr>
          <w:spacing w:val="-6"/>
        </w:rPr>
        <w:t xml:space="preserve"> </w:t>
      </w:r>
      <w:r w:rsidRPr="00CF73CE">
        <w:t>full</w:t>
      </w:r>
      <w:r w:rsidRPr="008627F7">
        <w:rPr>
          <w:spacing w:val="-6"/>
        </w:rPr>
        <w:t xml:space="preserve"> </w:t>
      </w:r>
      <w:r w:rsidRPr="00CF73CE">
        <w:t>study</w:t>
      </w:r>
      <w:r w:rsidRPr="008627F7">
        <w:rPr>
          <w:spacing w:val="-8"/>
        </w:rPr>
        <w:t xml:space="preserve"> </w:t>
      </w:r>
      <w:r w:rsidRPr="00CF73CE">
        <w:t>reports</w:t>
      </w:r>
      <w:bookmarkEnd w:id="24"/>
    </w:p>
    <w:p w:rsidR="00994A7E" w:rsidRPr="008627F7" w:rsidRDefault="00994A7E" w:rsidP="008627F7">
      <w:pPr>
        <w:pStyle w:val="Paragraph"/>
        <w:numPr>
          <w:ilvl w:val="1"/>
          <w:numId w:val="14"/>
        </w:numPr>
      </w:pPr>
      <w:bookmarkStart w:id="25" w:name="_Ref6935758"/>
      <w:r w:rsidRPr="008627F7">
        <w:t xml:space="preserve">Subject to the payment of the Joint Registration Compensation as specified under </w:t>
      </w:r>
      <w:r>
        <w:fldChar w:fldCharType="begin"/>
      </w:r>
      <w:r>
        <w:instrText xml:space="preserve"> REF _Ref6935638 \r \h </w:instrText>
      </w:r>
      <w:r>
        <w:fldChar w:fldCharType="separate"/>
      </w:r>
      <w:r>
        <w:t>Article IX</w:t>
      </w:r>
      <w:r>
        <w:fldChar w:fldCharType="end"/>
      </w:r>
      <w:r w:rsidRPr="008627F7">
        <w:t xml:space="preserve"> of this Agreement, the Lead Registrant grants the Non-Lead Member the non-exclusive, non-transferable and non-terminable right:</w:t>
      </w:r>
      <w:bookmarkEnd w:id="25"/>
    </w:p>
    <w:p w:rsidR="00994A7E" w:rsidRPr="008627F7" w:rsidRDefault="00994A7E" w:rsidP="008627F7">
      <w:pPr>
        <w:pStyle w:val="ListParagraph"/>
        <w:numPr>
          <w:ilvl w:val="0"/>
          <w:numId w:val="20"/>
        </w:numPr>
      </w:pPr>
      <w:bookmarkStart w:id="26" w:name="_Ref6935799"/>
      <w:r w:rsidRPr="008627F7">
        <w:t>to use the (robust) studies summaries and other Information used in the Joint Registration Dossier within the applicable tonnage band and for which no opt-out has been claimed by the Non-Lead Member;</w:t>
      </w:r>
      <w:bookmarkEnd w:id="26"/>
    </w:p>
    <w:p w:rsidR="00994A7E" w:rsidRPr="008627F7" w:rsidRDefault="00994A7E" w:rsidP="008627F7">
      <w:pPr>
        <w:pStyle w:val="ListParagraph"/>
      </w:pPr>
      <w:r w:rsidRPr="008627F7">
        <w:t xml:space="preserve">to refer to the full study reports on which basis the (robust) </w:t>
      </w:r>
      <w:r w:rsidR="006421CB">
        <w:t>study</w:t>
      </w:r>
      <w:r w:rsidR="006421CB" w:rsidRPr="008627F7">
        <w:t xml:space="preserve"> </w:t>
      </w:r>
      <w:r w:rsidRPr="008627F7">
        <w:t>summaries have been developed</w:t>
      </w:r>
      <w:r w:rsidRPr="00A3307D">
        <w:t xml:space="preserve"> (for the avoidance of doubt, copies of the full study reports will not be provided);</w:t>
      </w:r>
      <w:r w:rsidRPr="008627F7">
        <w:t xml:space="preserve"> and </w:t>
      </w:r>
    </w:p>
    <w:p w:rsidR="00994A7E" w:rsidRPr="008627F7" w:rsidRDefault="00994A7E" w:rsidP="008627F7">
      <w:pPr>
        <w:pStyle w:val="ListParagraph"/>
      </w:pPr>
      <w:r w:rsidRPr="008627F7">
        <w:t xml:space="preserve">to grant the rights referred to under (a) and (b) </w:t>
      </w:r>
      <w:r w:rsidRPr="00A3307D">
        <w:t>hereabove</w:t>
      </w:r>
      <w:r w:rsidRPr="008627F7">
        <w:t xml:space="preserve"> to the Non-Lead Member’s Affiliates notified under </w:t>
      </w:r>
      <w:r w:rsidRPr="00A3307D">
        <w:t xml:space="preserve">Paragraph </w:t>
      </w:r>
      <w:r w:rsidRPr="00A3307D">
        <w:fldChar w:fldCharType="begin"/>
      </w:r>
      <w:r w:rsidRPr="00A3307D">
        <w:instrText xml:space="preserve"> REF _Ref6935696 \r \h </w:instrText>
      </w:r>
      <w:r>
        <w:instrText xml:space="preserve"> \* MERGEFORMAT </w:instrText>
      </w:r>
      <w:r w:rsidRPr="00A3307D">
        <w:fldChar w:fldCharType="separate"/>
      </w:r>
      <w:r>
        <w:t>VI.4</w:t>
      </w:r>
      <w:r w:rsidRPr="00A3307D">
        <w:fldChar w:fldCharType="end"/>
      </w:r>
      <w:r w:rsidRPr="00A3307D">
        <w:t>,</w:t>
      </w:r>
      <w:r w:rsidRPr="008627F7">
        <w:t xml:space="preserve"> with the right to sub-license such rights only to their </w:t>
      </w:r>
      <w:r w:rsidRPr="00A3307D">
        <w:t>Only Representatives</w:t>
      </w:r>
      <w:r w:rsidRPr="008627F7">
        <w:t xml:space="preserve">. </w:t>
      </w:r>
    </w:p>
    <w:p w:rsidR="00994A7E" w:rsidRPr="008627F7" w:rsidRDefault="00994A7E" w:rsidP="008627F7">
      <w:pPr>
        <w:pStyle w:val="Paragraph"/>
        <w:numPr>
          <w:ilvl w:val="1"/>
          <w:numId w:val="14"/>
        </w:numPr>
      </w:pPr>
      <w:r w:rsidRPr="008627F7">
        <w:t xml:space="preserve">Notwithstanding the foregoing, if the Non-Lead Member is </w:t>
      </w:r>
      <w:r w:rsidR="006421CB">
        <w:t xml:space="preserve">an Only Representative or </w:t>
      </w:r>
      <w:r w:rsidRPr="008627F7">
        <w:t xml:space="preserve">a </w:t>
      </w:r>
      <w:r w:rsidRPr="005840E6">
        <w:rPr>
          <w:lang w:eastAsia="fr-FR"/>
        </w:rPr>
        <w:t>Third Party Representative</w:t>
      </w:r>
      <w:r w:rsidRPr="008627F7">
        <w:t xml:space="preserve">, he is granted only with the rights specified under (a) and (b) </w:t>
      </w:r>
      <w:r w:rsidRPr="005840E6">
        <w:t>hereabove</w:t>
      </w:r>
      <w:r w:rsidRPr="008627F7">
        <w:t xml:space="preserve">, and only for the purpose to pass them to the legal entities represented by him in the SIEF and notified to the Lead Registrant under </w:t>
      </w:r>
      <w:r>
        <w:t>Paragraph</w:t>
      </w:r>
      <w:r w:rsidRPr="005840E6">
        <w:t xml:space="preserve"> </w:t>
      </w:r>
      <w:r>
        <w:fldChar w:fldCharType="begin"/>
      </w:r>
      <w:r>
        <w:instrText xml:space="preserve"> REF _Ref6935715 \r \h </w:instrText>
      </w:r>
      <w:r>
        <w:fldChar w:fldCharType="separate"/>
      </w:r>
      <w:r>
        <w:t>VI.5</w:t>
      </w:r>
      <w:r>
        <w:fldChar w:fldCharType="end"/>
      </w:r>
      <w:r w:rsidRPr="005840E6">
        <w:t>.</w:t>
      </w:r>
    </w:p>
    <w:p w:rsidR="00994A7E" w:rsidRPr="008627F7" w:rsidRDefault="00994A7E" w:rsidP="008627F7">
      <w:pPr>
        <w:pStyle w:val="Paragraph"/>
        <w:numPr>
          <w:ilvl w:val="1"/>
          <w:numId w:val="14"/>
        </w:numPr>
      </w:pPr>
      <w:r w:rsidRPr="008627F7">
        <w:t>The rights granted under this Article can be exercised only for the purpose of compliance with REACH</w:t>
      </w:r>
      <w:r w:rsidRPr="005840E6">
        <w:rPr>
          <w:lang w:eastAsia="fr-FR"/>
        </w:rPr>
        <w:t xml:space="preserve"> </w:t>
      </w:r>
      <w:r w:rsidR="006421CB">
        <w:rPr>
          <w:lang w:eastAsia="fr-FR"/>
        </w:rPr>
        <w:t xml:space="preserve">requirements </w:t>
      </w:r>
      <w:r>
        <w:rPr>
          <w:lang w:eastAsia="fr-FR"/>
        </w:rPr>
        <w:t>for the Substance</w:t>
      </w:r>
      <w:r w:rsidRPr="008627F7">
        <w:t xml:space="preserve">. The Parties shall abstain from any other use, whether commercial or non-commercial. For the avoidance of doubt, any further use of the </w:t>
      </w:r>
      <w:r w:rsidR="006421CB">
        <w:t>Information</w:t>
      </w:r>
      <w:r w:rsidR="006421CB" w:rsidRPr="008627F7">
        <w:t xml:space="preserve"> </w:t>
      </w:r>
      <w:r w:rsidRPr="008627F7">
        <w:t>shall be subject to a</w:t>
      </w:r>
      <w:r w:rsidR="006421CB">
        <w:t xml:space="preserve"> separate </w:t>
      </w:r>
      <w:r w:rsidRPr="008627F7">
        <w:t xml:space="preserve">written agreement. </w:t>
      </w:r>
      <w:bookmarkStart w:id="27" w:name="Article_VIII._Information_on_the_submiss"/>
      <w:bookmarkEnd w:id="27"/>
    </w:p>
    <w:p w:rsidR="00994A7E" w:rsidRPr="00CF73CE" w:rsidRDefault="00994A7E" w:rsidP="00994A7E">
      <w:pPr>
        <w:pStyle w:val="Heading2"/>
      </w:pPr>
      <w:r w:rsidRPr="00CF73CE">
        <w:t>Information on the submission of the Joint Registration Dossier</w:t>
      </w:r>
    </w:p>
    <w:p w:rsidR="00994A7E" w:rsidRPr="00CF73CE" w:rsidRDefault="00994A7E" w:rsidP="008627F7">
      <w:pPr>
        <w:pStyle w:val="Paragraph"/>
        <w:numPr>
          <w:ilvl w:val="1"/>
          <w:numId w:val="14"/>
        </w:numPr>
      </w:pPr>
      <w:bookmarkStart w:id="28" w:name="OLE_LINK2"/>
      <w:bookmarkStart w:id="29" w:name="_Ref6935614"/>
      <w:r w:rsidRPr="00CF73CE">
        <w:t xml:space="preserve">Provided the Non-Lead Member has fulfilled its obligations under </w:t>
      </w:r>
      <w:bookmarkEnd w:id="28"/>
      <w:r>
        <w:fldChar w:fldCharType="begin"/>
      </w:r>
      <w:r>
        <w:instrText xml:space="preserve"> REF _Ref6935638 \r \h </w:instrText>
      </w:r>
      <w:r>
        <w:fldChar w:fldCharType="separate"/>
      </w:r>
      <w:r>
        <w:t>Article IX</w:t>
      </w:r>
      <w:r>
        <w:fldChar w:fldCharType="end"/>
      </w:r>
      <w:r w:rsidRPr="005840E6">
        <w:t>,</w:t>
      </w:r>
      <w:r w:rsidRPr="00CF73CE">
        <w:t xml:space="preserve"> the Lead Registrant shall inform </w:t>
      </w:r>
      <w:r w:rsidRPr="005840E6">
        <w:t>immediately</w:t>
      </w:r>
      <w:r w:rsidRPr="00CF73CE">
        <w:t xml:space="preserve"> the Non-Lead Member of the creation of the joint submission object in REACH-IT and shall provide the valid security token number and the name of the joint submission.</w:t>
      </w:r>
      <w:bookmarkEnd w:id="29"/>
    </w:p>
    <w:p w:rsidR="00994A7E" w:rsidRPr="008627F7" w:rsidRDefault="00994A7E" w:rsidP="008627F7">
      <w:pPr>
        <w:pStyle w:val="Paragraph"/>
        <w:numPr>
          <w:ilvl w:val="1"/>
          <w:numId w:val="14"/>
        </w:numPr>
        <w:rPr>
          <w:color w:val="000000"/>
        </w:rPr>
      </w:pPr>
      <w:r w:rsidRPr="00CF73CE">
        <w:t xml:space="preserve">The Lead Registrant shall inform </w:t>
      </w:r>
      <w:r w:rsidRPr="00FF32BF">
        <w:t>immediately</w:t>
      </w:r>
      <w:r w:rsidRPr="00CF73CE">
        <w:t xml:space="preserve"> the Non-Lead Member of the submission of the Joint Registration Dossier to the Agency and provide documentation of the same.</w:t>
      </w:r>
      <w:r w:rsidRPr="00FF32BF">
        <w:t xml:space="preserve"> For the avoidance of any doubt, the term documentation includes, but it is not limited to, the relevant IUCLID file. </w:t>
      </w:r>
    </w:p>
    <w:p w:rsidR="00994A7E" w:rsidRPr="008627F7" w:rsidRDefault="00994A7E" w:rsidP="008627F7">
      <w:pPr>
        <w:pStyle w:val="Paragraph"/>
        <w:numPr>
          <w:ilvl w:val="1"/>
          <w:numId w:val="14"/>
        </w:numPr>
      </w:pPr>
      <w:r w:rsidRPr="008627F7">
        <w:t>The Lead Registrant shall further communicate the confirmation that the joint registration has been successful.</w:t>
      </w:r>
      <w:bookmarkStart w:id="30" w:name="2._OBLIGATIONS_OF_COMPANY"/>
      <w:bookmarkEnd w:id="30"/>
    </w:p>
    <w:p w:rsidR="00994A7E" w:rsidRPr="00042508" w:rsidRDefault="00994A7E" w:rsidP="00994A7E">
      <w:pPr>
        <w:pStyle w:val="Paragraph"/>
        <w:numPr>
          <w:ilvl w:val="1"/>
          <w:numId w:val="14"/>
        </w:numPr>
      </w:pPr>
      <w:r w:rsidRPr="00FF32BF">
        <w:t xml:space="preserve">The Non-Lead Member shall inform </w:t>
      </w:r>
      <w:r w:rsidRPr="00FF32BF">
        <w:rPr>
          <w:i/>
        </w:rPr>
        <w:t>mutatis mutandis</w:t>
      </w:r>
      <w:r w:rsidRPr="00FF32BF">
        <w:t xml:space="preserve"> the Lead Registrant about any changes in tonnage band registration and information requirements that could have an impact on the joint submission and the data and cost sharing rules mentioned under the present Agreement. The changes above shall become effective and operational vis-à-vis the Lead Registrant and the other members of the Joint </w:t>
      </w:r>
      <w:r w:rsidRPr="00042508">
        <w:t xml:space="preserve">Submission. </w:t>
      </w:r>
    </w:p>
    <w:p w:rsidR="00994A7E" w:rsidRPr="00CF73CE" w:rsidRDefault="00994A7E" w:rsidP="00994A7E">
      <w:pPr>
        <w:pStyle w:val="Heading2"/>
      </w:pPr>
      <w:bookmarkStart w:id="31" w:name="Article_IX._Financial_compensation_for_t"/>
      <w:bookmarkStart w:id="32" w:name="_Ref6935638"/>
      <w:bookmarkEnd w:id="31"/>
      <w:r w:rsidRPr="00CF73CE">
        <w:t>Financial</w:t>
      </w:r>
      <w:r w:rsidRPr="008627F7">
        <w:rPr>
          <w:spacing w:val="-9"/>
        </w:rPr>
        <w:t xml:space="preserve"> </w:t>
      </w:r>
      <w:r w:rsidRPr="00CF73CE">
        <w:t>compensation</w:t>
      </w:r>
      <w:r w:rsidRPr="008627F7">
        <w:rPr>
          <w:spacing w:val="-7"/>
        </w:rPr>
        <w:t xml:space="preserve"> </w:t>
      </w:r>
      <w:r w:rsidRPr="00CF73CE">
        <w:t>for</w:t>
      </w:r>
      <w:r w:rsidRPr="008627F7">
        <w:rPr>
          <w:spacing w:val="-9"/>
        </w:rPr>
        <w:t xml:space="preserve"> </w:t>
      </w:r>
      <w:r w:rsidRPr="00CF73CE">
        <w:t>the</w:t>
      </w:r>
      <w:r w:rsidRPr="008627F7">
        <w:rPr>
          <w:spacing w:val="-8"/>
        </w:rPr>
        <w:t xml:space="preserve"> </w:t>
      </w:r>
      <w:r w:rsidRPr="00CF73CE">
        <w:t>Joint</w:t>
      </w:r>
      <w:r w:rsidRPr="008627F7">
        <w:rPr>
          <w:spacing w:val="-9"/>
        </w:rPr>
        <w:t xml:space="preserve"> </w:t>
      </w:r>
      <w:r w:rsidRPr="00CF73CE">
        <w:t>Registration</w:t>
      </w:r>
      <w:r w:rsidRPr="008627F7">
        <w:rPr>
          <w:spacing w:val="-7"/>
        </w:rPr>
        <w:t xml:space="preserve"> </w:t>
      </w:r>
      <w:r w:rsidRPr="00CF73CE">
        <w:t>Dossier</w:t>
      </w:r>
      <w:bookmarkEnd w:id="32"/>
    </w:p>
    <w:p w:rsidR="00994A7E" w:rsidRPr="00CF73CE" w:rsidRDefault="00994A7E" w:rsidP="008627F7">
      <w:pPr>
        <w:pStyle w:val="Paragraph"/>
        <w:numPr>
          <w:ilvl w:val="1"/>
          <w:numId w:val="14"/>
        </w:numPr>
      </w:pPr>
      <w:r w:rsidRPr="005840E6">
        <w:t>The</w:t>
      </w:r>
      <w:r w:rsidRPr="00CF73CE">
        <w:t xml:space="preserve"> Non-Lead Member shall compensate in a fair, </w:t>
      </w:r>
      <w:r w:rsidRPr="008627F7">
        <w:rPr>
          <w:spacing w:val="-1"/>
        </w:rPr>
        <w:t>transparent</w:t>
      </w:r>
      <w:r w:rsidRPr="00CF73CE">
        <w:t xml:space="preserve"> and </w:t>
      </w:r>
      <w:r w:rsidRPr="008627F7">
        <w:rPr>
          <w:spacing w:val="-1"/>
        </w:rPr>
        <w:t>non-discriminatory</w:t>
      </w:r>
      <w:r w:rsidRPr="00CF73CE">
        <w:t xml:space="preserve"> way the Lead Registrant with a</w:t>
      </w:r>
      <w:r w:rsidRPr="008627F7">
        <w:rPr>
          <w:spacing w:val="56"/>
          <w:w w:val="99"/>
        </w:rPr>
        <w:t xml:space="preserve"> </w:t>
      </w:r>
      <w:r w:rsidRPr="00CF73CE">
        <w:t>“Joint</w:t>
      </w:r>
      <w:r w:rsidRPr="008627F7">
        <w:rPr>
          <w:spacing w:val="-6"/>
        </w:rPr>
        <w:t xml:space="preserve"> </w:t>
      </w:r>
      <w:r w:rsidRPr="008627F7">
        <w:rPr>
          <w:spacing w:val="-1"/>
        </w:rPr>
        <w:t>Registration</w:t>
      </w:r>
      <w:r w:rsidRPr="008627F7">
        <w:rPr>
          <w:spacing w:val="-5"/>
        </w:rPr>
        <w:t xml:space="preserve"> </w:t>
      </w:r>
      <w:r w:rsidRPr="00CF73CE">
        <w:t>Compensation”</w:t>
      </w:r>
      <w:r w:rsidRPr="008627F7">
        <w:rPr>
          <w:spacing w:val="-5"/>
        </w:rPr>
        <w:t xml:space="preserve"> </w:t>
      </w:r>
      <w:r w:rsidRPr="008627F7">
        <w:rPr>
          <w:spacing w:val="-1"/>
        </w:rPr>
        <w:t>for</w:t>
      </w:r>
      <w:r w:rsidRPr="008627F7">
        <w:rPr>
          <w:spacing w:val="-6"/>
        </w:rPr>
        <w:t xml:space="preserve"> </w:t>
      </w:r>
      <w:r w:rsidRPr="00CF73CE">
        <w:t>the</w:t>
      </w:r>
      <w:r w:rsidRPr="008627F7">
        <w:rPr>
          <w:spacing w:val="-5"/>
        </w:rPr>
        <w:t xml:space="preserve"> </w:t>
      </w:r>
      <w:r w:rsidRPr="00CF73CE">
        <w:t>development</w:t>
      </w:r>
      <w:r w:rsidRPr="008627F7">
        <w:rPr>
          <w:spacing w:val="-4"/>
        </w:rPr>
        <w:t xml:space="preserve"> </w:t>
      </w:r>
      <w:r w:rsidRPr="00CF73CE">
        <w:t>and</w:t>
      </w:r>
      <w:r w:rsidRPr="008627F7">
        <w:rPr>
          <w:spacing w:val="-6"/>
        </w:rPr>
        <w:t xml:space="preserve"> </w:t>
      </w:r>
      <w:r w:rsidRPr="00CF73CE">
        <w:t>submission</w:t>
      </w:r>
      <w:r w:rsidRPr="008627F7">
        <w:rPr>
          <w:spacing w:val="-7"/>
        </w:rPr>
        <w:t xml:space="preserve"> </w:t>
      </w:r>
      <w:r w:rsidRPr="00CF73CE">
        <w:t>of</w:t>
      </w:r>
      <w:r w:rsidRPr="008627F7">
        <w:rPr>
          <w:spacing w:val="-5"/>
        </w:rPr>
        <w:t xml:space="preserve"> </w:t>
      </w:r>
      <w:r w:rsidRPr="00CF73CE">
        <w:t>the</w:t>
      </w:r>
      <w:r w:rsidRPr="008627F7">
        <w:rPr>
          <w:spacing w:val="-6"/>
        </w:rPr>
        <w:t xml:space="preserve"> </w:t>
      </w:r>
      <w:r w:rsidRPr="00CF73CE">
        <w:t>Joint</w:t>
      </w:r>
      <w:r w:rsidRPr="008627F7">
        <w:rPr>
          <w:spacing w:val="-6"/>
        </w:rPr>
        <w:t xml:space="preserve"> </w:t>
      </w:r>
      <w:r w:rsidRPr="00CF73CE">
        <w:t>Registration</w:t>
      </w:r>
      <w:r w:rsidRPr="008627F7">
        <w:rPr>
          <w:spacing w:val="-6"/>
        </w:rPr>
        <w:t xml:space="preserve"> </w:t>
      </w:r>
      <w:r w:rsidRPr="00CF73CE">
        <w:t>Dossier</w:t>
      </w:r>
      <w:r w:rsidRPr="008627F7">
        <w:rPr>
          <w:spacing w:val="26"/>
          <w:w w:val="99"/>
        </w:rPr>
        <w:t xml:space="preserve"> </w:t>
      </w:r>
      <w:r w:rsidRPr="00CF73CE">
        <w:t>and</w:t>
      </w:r>
      <w:r w:rsidRPr="008627F7">
        <w:rPr>
          <w:spacing w:val="-6"/>
        </w:rPr>
        <w:t xml:space="preserve"> </w:t>
      </w:r>
      <w:r w:rsidRPr="00CF73CE">
        <w:t>the</w:t>
      </w:r>
      <w:r w:rsidRPr="008627F7">
        <w:rPr>
          <w:spacing w:val="-6"/>
        </w:rPr>
        <w:t xml:space="preserve"> </w:t>
      </w:r>
      <w:r w:rsidRPr="008627F7">
        <w:rPr>
          <w:spacing w:val="-1"/>
        </w:rPr>
        <w:t>rights</w:t>
      </w:r>
      <w:r w:rsidRPr="008627F7">
        <w:rPr>
          <w:spacing w:val="-6"/>
        </w:rPr>
        <w:t xml:space="preserve"> </w:t>
      </w:r>
      <w:r w:rsidRPr="00CF73CE">
        <w:t>granted</w:t>
      </w:r>
      <w:r w:rsidRPr="008627F7">
        <w:rPr>
          <w:spacing w:val="-6"/>
        </w:rPr>
        <w:t xml:space="preserve"> </w:t>
      </w:r>
      <w:r w:rsidRPr="008627F7">
        <w:rPr>
          <w:spacing w:val="-1"/>
        </w:rPr>
        <w:t>under</w:t>
      </w:r>
      <w:r w:rsidRPr="008627F7">
        <w:rPr>
          <w:spacing w:val="-6"/>
        </w:rPr>
        <w:t xml:space="preserve"> </w:t>
      </w:r>
      <w:r>
        <w:fldChar w:fldCharType="begin"/>
      </w:r>
      <w:r>
        <w:rPr>
          <w:spacing w:val="-6"/>
        </w:rPr>
        <w:instrText xml:space="preserve"> REF _Ref6935741 \r \h </w:instrText>
      </w:r>
      <w:r>
        <w:fldChar w:fldCharType="separate"/>
      </w:r>
      <w:r>
        <w:rPr>
          <w:spacing w:val="-6"/>
        </w:rPr>
        <w:t>Article VII</w:t>
      </w:r>
      <w:r>
        <w:fldChar w:fldCharType="end"/>
      </w:r>
      <w:r w:rsidRPr="005840E6">
        <w:rPr>
          <w:spacing w:val="-1"/>
        </w:rPr>
        <w:t xml:space="preserve"> above</w:t>
      </w:r>
      <w:r w:rsidRPr="008627F7">
        <w:rPr>
          <w:spacing w:val="-1"/>
        </w:rPr>
        <w:t xml:space="preserve">. </w:t>
      </w:r>
    </w:p>
    <w:p w:rsidR="00994A7E" w:rsidRPr="008627F7" w:rsidRDefault="00994A7E" w:rsidP="008627F7">
      <w:pPr>
        <w:pStyle w:val="Paragraph"/>
        <w:numPr>
          <w:ilvl w:val="1"/>
          <w:numId w:val="14"/>
        </w:numPr>
      </w:pPr>
      <w:r w:rsidRPr="00CF73CE">
        <w:t xml:space="preserve">The Joint Registration Compensation </w:t>
      </w:r>
      <w:r w:rsidRPr="005840E6">
        <w:rPr>
          <w:iCs/>
          <w:lang w:eastAsia="fr-FR"/>
        </w:rPr>
        <w:t>is</w:t>
      </w:r>
      <w:r w:rsidRPr="008627F7">
        <w:t xml:space="preserve"> set out in Annex </w:t>
      </w:r>
      <w:r w:rsidRPr="005840E6">
        <w:t>2</w:t>
      </w:r>
      <w:r w:rsidRPr="005840E6">
        <w:rPr>
          <w:iCs/>
          <w:lang w:eastAsia="fr-FR"/>
        </w:rPr>
        <w:t xml:space="preserve"> and</w:t>
      </w:r>
      <w:r w:rsidRPr="00CF73CE">
        <w:t xml:space="preserve"> will comprise </w:t>
      </w:r>
      <w:r>
        <w:t xml:space="preserve">the </w:t>
      </w:r>
      <w:r w:rsidRPr="00CF73CE">
        <w:t>following elements:</w:t>
      </w:r>
      <w:r w:rsidRPr="008627F7">
        <w:t xml:space="preserve"> </w:t>
      </w:r>
    </w:p>
    <w:p w:rsidR="00994A7E" w:rsidRPr="008627F7" w:rsidRDefault="00994A7E" w:rsidP="008627F7">
      <w:pPr>
        <w:pStyle w:val="ListParagraph"/>
        <w:numPr>
          <w:ilvl w:val="0"/>
          <w:numId w:val="18"/>
        </w:numPr>
      </w:pPr>
      <w:r w:rsidRPr="008627F7">
        <w:t xml:space="preserve">Administrative </w:t>
      </w:r>
      <w:r w:rsidRPr="00A3307D">
        <w:rPr>
          <w:lang w:eastAsia="de-DE"/>
        </w:rPr>
        <w:t>costs</w:t>
      </w:r>
      <w:r w:rsidRPr="008627F7">
        <w:t xml:space="preserve"> reasonably incurred by the Lead Members and the Lead Registrant including but not limited to, secretarial services, management of confidential data and costs of external experts</w:t>
      </w:r>
      <w:r w:rsidRPr="00A3307D">
        <w:rPr>
          <w:lang w:eastAsia="de-DE"/>
        </w:rPr>
        <w:t xml:space="preserve"> and provided that they are justified appropriately irrespective of their nature</w:t>
      </w:r>
      <w:r w:rsidRPr="008627F7">
        <w:t>.</w:t>
      </w:r>
    </w:p>
    <w:p w:rsidR="00994A7E" w:rsidRPr="008627F7" w:rsidRDefault="00994A7E" w:rsidP="008627F7">
      <w:pPr>
        <w:pStyle w:val="ListParagraph"/>
      </w:pPr>
      <w:r w:rsidRPr="00A3307D">
        <w:rPr>
          <w:lang w:eastAsia="de-DE"/>
        </w:rPr>
        <w:t>Costs</w:t>
      </w:r>
      <w:r w:rsidRPr="008627F7">
        <w:t xml:space="preserve"> to acquire rights to use existing studies of an individual Lead Member and costs for studies jointly developed by the </w:t>
      </w:r>
      <w:r w:rsidRPr="00A3307D">
        <w:rPr>
          <w:lang w:eastAsia="de-DE"/>
        </w:rPr>
        <w:t>Data Owner(s)</w:t>
      </w:r>
      <w:r w:rsidRPr="008627F7">
        <w:t xml:space="preserve"> according to Annexes VI</w:t>
      </w:r>
      <w:r w:rsidRPr="00A3307D">
        <w:rPr>
          <w:lang w:eastAsia="de-DE"/>
        </w:rPr>
        <w:t>, VII,</w:t>
      </w:r>
      <w:r w:rsidRPr="008627F7">
        <w:t xml:space="preserve"> VIII</w:t>
      </w:r>
      <w:r w:rsidRPr="00A3307D">
        <w:rPr>
          <w:lang w:eastAsia="de-DE"/>
        </w:rPr>
        <w:t>, IX and X</w:t>
      </w:r>
      <w:r w:rsidRPr="008627F7">
        <w:t xml:space="preserve"> of REACH.</w:t>
      </w:r>
    </w:p>
    <w:p w:rsidR="00994A7E" w:rsidRPr="008627F7" w:rsidRDefault="00994A7E" w:rsidP="008627F7">
      <w:pPr>
        <w:pStyle w:val="ListParagraph"/>
      </w:pPr>
      <w:r w:rsidRPr="008627F7">
        <w:t xml:space="preserve">Costs for rights to use studies from Data Owners, if the Lead Registrant is </w:t>
      </w:r>
      <w:r w:rsidRPr="005840E6">
        <w:rPr>
          <w:lang w:eastAsia="de-DE"/>
        </w:rPr>
        <w:t>authori</w:t>
      </w:r>
      <w:r>
        <w:rPr>
          <w:lang w:eastAsia="de-DE"/>
        </w:rPr>
        <w:t>s</w:t>
      </w:r>
      <w:r w:rsidRPr="005840E6">
        <w:rPr>
          <w:lang w:eastAsia="de-DE"/>
        </w:rPr>
        <w:t>ed</w:t>
      </w:r>
      <w:r w:rsidRPr="008627F7">
        <w:t xml:space="preserve"> by Data Owners to transfer to Non-Lead Member the rights specified under </w:t>
      </w:r>
      <w:r>
        <w:rPr>
          <w:lang w:eastAsia="de-DE"/>
        </w:rPr>
        <w:t>Paragraph</w:t>
      </w:r>
      <w:r w:rsidRPr="005840E6">
        <w:rPr>
          <w:lang w:eastAsia="de-DE"/>
        </w:rPr>
        <w:t xml:space="preserve"> </w:t>
      </w:r>
      <w:r>
        <w:rPr>
          <w:lang w:eastAsia="de-DE"/>
        </w:rPr>
        <w:fldChar w:fldCharType="begin"/>
      </w:r>
      <w:r>
        <w:rPr>
          <w:lang w:eastAsia="de-DE"/>
        </w:rPr>
        <w:instrText xml:space="preserve"> REF _Ref6935758 \r \h  \* MERGEFORMAT </w:instrText>
      </w:r>
      <w:r>
        <w:rPr>
          <w:lang w:eastAsia="de-DE"/>
        </w:rPr>
      </w:r>
      <w:r>
        <w:rPr>
          <w:lang w:eastAsia="de-DE"/>
        </w:rPr>
        <w:fldChar w:fldCharType="separate"/>
      </w:r>
      <w:r>
        <w:rPr>
          <w:lang w:eastAsia="de-DE"/>
        </w:rPr>
        <w:t>VII.1</w:t>
      </w:r>
      <w:r>
        <w:rPr>
          <w:lang w:eastAsia="de-DE"/>
        </w:rPr>
        <w:fldChar w:fldCharType="end"/>
      </w:r>
      <w:r w:rsidRPr="00A3307D">
        <w:rPr>
          <w:lang w:eastAsia="de-DE"/>
        </w:rPr>
        <w:t>.</w:t>
      </w:r>
      <w:r w:rsidRPr="008627F7" w:rsidDel="00286738">
        <w:t xml:space="preserve"> </w:t>
      </w:r>
    </w:p>
    <w:p w:rsidR="00994A7E" w:rsidRPr="008627F7" w:rsidRDefault="00994A7E" w:rsidP="008627F7">
      <w:pPr>
        <w:pStyle w:val="ListParagraph"/>
      </w:pPr>
      <w:r w:rsidRPr="005840E6">
        <w:rPr>
          <w:lang w:eastAsia="de-DE"/>
        </w:rPr>
        <w:t>When</w:t>
      </w:r>
      <w:r w:rsidRPr="008627F7">
        <w:t xml:space="preserve"> applicable</w:t>
      </w:r>
      <w:r w:rsidR="00AD0816">
        <w:t>,</w:t>
      </w:r>
      <w:r w:rsidRPr="005840E6">
        <w:rPr>
          <w:lang w:eastAsia="de-DE"/>
        </w:rPr>
        <w:t xml:space="preserve"> costs</w:t>
      </w:r>
      <w:r w:rsidRPr="005840E6">
        <w:t xml:space="preserve"> for the CSR which </w:t>
      </w:r>
      <w:r w:rsidRPr="005840E6">
        <w:rPr>
          <w:lang w:eastAsia="de-DE"/>
        </w:rPr>
        <w:t>is</w:t>
      </w:r>
      <w:r w:rsidRPr="008627F7">
        <w:t xml:space="preserve"> made available by the Lead </w:t>
      </w:r>
      <w:r w:rsidRPr="005840E6">
        <w:t>registrant</w:t>
      </w:r>
      <w:r w:rsidRPr="008627F7">
        <w:t xml:space="preserve"> to Non-Lead </w:t>
      </w:r>
      <w:r w:rsidR="00AD0816">
        <w:t>M</w:t>
      </w:r>
      <w:r w:rsidRPr="005840E6">
        <w:t>ember</w:t>
      </w:r>
      <w:r w:rsidRPr="008627F7">
        <w:t xml:space="preserve"> on an individual request </w:t>
      </w:r>
      <w:r w:rsidRPr="005840E6">
        <w:t>(not included in the Joint Registration Dossier).</w:t>
      </w:r>
    </w:p>
    <w:p w:rsidR="00994A7E" w:rsidRPr="00732911" w:rsidRDefault="00994A7E" w:rsidP="00994A7E">
      <w:pPr>
        <w:pStyle w:val="ListParagraph"/>
      </w:pPr>
      <w:r w:rsidRPr="00732911">
        <w:t xml:space="preserve">Costs for preparing </w:t>
      </w:r>
      <w:r>
        <w:t xml:space="preserve">and updating </w:t>
      </w:r>
      <w:r w:rsidRPr="00732911">
        <w:t>the Technical Dossier including preparatory work like literature search, assessment of available data and writing (robust) study summaries.</w:t>
      </w:r>
    </w:p>
    <w:p w:rsidR="00994A7E" w:rsidRPr="008627F7" w:rsidRDefault="00994A7E" w:rsidP="008627F7">
      <w:pPr>
        <w:pStyle w:val="Paragraph"/>
        <w:numPr>
          <w:ilvl w:val="1"/>
          <w:numId w:val="14"/>
        </w:numPr>
      </w:pPr>
      <w:r w:rsidRPr="00FF32BF">
        <w:rPr>
          <w:lang w:eastAsia="fr-FR"/>
        </w:rPr>
        <w:t>Both the study and administrative costs</w:t>
      </w:r>
      <w:r w:rsidRPr="008627F7">
        <w:t xml:space="preserve"> referred to above shall be allocated </w:t>
      </w:r>
      <w:r w:rsidRPr="00FF32BF">
        <w:rPr>
          <w:lang w:eastAsia="fr-FR"/>
        </w:rPr>
        <w:t>according to Annex 2 to this Agreement</w:t>
      </w:r>
      <w:r w:rsidRPr="008627F7">
        <w:t>, in a transparent, fair and non</w:t>
      </w:r>
      <w:r w:rsidRPr="00FF32BF">
        <w:rPr>
          <w:lang w:eastAsia="fr-FR"/>
        </w:rPr>
        <w:t>-</w:t>
      </w:r>
      <w:r w:rsidRPr="008627F7">
        <w:t>discriminatory way</w:t>
      </w:r>
      <w:r w:rsidRPr="00FF32BF">
        <w:rPr>
          <w:lang w:eastAsia="fr-FR"/>
        </w:rPr>
        <w:t xml:space="preserve"> and in full compliance with the Implementing Regulation 2016/9</w:t>
      </w:r>
      <w:r w:rsidRPr="008627F7">
        <w:t xml:space="preserve">, to all </w:t>
      </w:r>
      <w:r w:rsidRPr="00FF32BF">
        <w:rPr>
          <w:lang w:eastAsia="fr-FR"/>
        </w:rPr>
        <w:t>Members of the Joint Submission</w:t>
      </w:r>
      <w:r w:rsidRPr="008627F7">
        <w:t xml:space="preserve"> with the intent to register </w:t>
      </w:r>
      <w:r w:rsidR="00AD0816">
        <w:t xml:space="preserve">or registered </w:t>
      </w:r>
      <w:r w:rsidRPr="008627F7">
        <w:t>the Substance, taking into account the following exceptions:</w:t>
      </w:r>
    </w:p>
    <w:p w:rsidR="00994A7E" w:rsidRPr="00CF73CE" w:rsidRDefault="00994A7E" w:rsidP="008627F7">
      <w:pPr>
        <w:pStyle w:val="ListParagraph"/>
        <w:numPr>
          <w:ilvl w:val="0"/>
          <w:numId w:val="16"/>
        </w:numPr>
      </w:pPr>
      <w:r w:rsidRPr="00CF73CE">
        <w:t xml:space="preserve">Where a Non-Lead Member registers the Substance in a tonnage band lower than the one covered by the Joint Registration Dossier, it shall only be requested to compensate for those parts of the </w:t>
      </w:r>
      <w:r w:rsidR="00AD0816">
        <w:t xml:space="preserve">Joint </w:t>
      </w:r>
      <w:r w:rsidRPr="00CF73CE">
        <w:t>Registration Dossier that it is included in and for those studies it receives a right to refer for.</w:t>
      </w:r>
    </w:p>
    <w:p w:rsidR="00994A7E" w:rsidRPr="00CF73CE" w:rsidRDefault="00994A7E" w:rsidP="008627F7">
      <w:pPr>
        <w:pStyle w:val="ListParagraph"/>
      </w:pPr>
      <w:r w:rsidRPr="00CF73CE">
        <w:t xml:space="preserve">Where the Non-Lead Member decides, based on Article 11 (3) </w:t>
      </w:r>
      <w:r w:rsidRPr="00A3307D">
        <w:t xml:space="preserve">of </w:t>
      </w:r>
      <w:r w:rsidRPr="00CF73CE">
        <w:t xml:space="preserve">REACH, to opt-out from </w:t>
      </w:r>
      <w:r w:rsidRPr="00A3307D">
        <w:t xml:space="preserve">the Joint Submission or </w:t>
      </w:r>
      <w:r w:rsidRPr="00CF73CE">
        <w:t xml:space="preserve">some parts of the Joint Registration Dossier and submit the relevant information separately, it shall only be requested to compensate for those parts of the Joint Registration Dossier that are submitted jointly. </w:t>
      </w:r>
    </w:p>
    <w:p w:rsidR="00994A7E" w:rsidRPr="008627F7" w:rsidRDefault="00994A7E" w:rsidP="008627F7">
      <w:pPr>
        <w:pStyle w:val="Paragraph"/>
        <w:numPr>
          <w:ilvl w:val="1"/>
          <w:numId w:val="14"/>
        </w:numPr>
      </w:pPr>
      <w:r w:rsidRPr="008627F7">
        <w:t xml:space="preserve">Based on the above, the Lead Registrant will send an invoice to the Non-Lead Member for </w:t>
      </w:r>
      <w:r w:rsidRPr="00FF32BF">
        <w:rPr>
          <w:lang w:eastAsia="fr-FR"/>
        </w:rPr>
        <w:t>the sharing of the costs mentioned above</w:t>
      </w:r>
      <w:r w:rsidRPr="008627F7">
        <w:t xml:space="preserve"> after </w:t>
      </w:r>
      <w:r w:rsidRPr="00FF32BF">
        <w:rPr>
          <w:lang w:eastAsia="fr-FR"/>
        </w:rPr>
        <w:t>the</w:t>
      </w:r>
      <w:r w:rsidRPr="008627F7">
        <w:t xml:space="preserve"> request </w:t>
      </w:r>
      <w:r w:rsidRPr="00FF32BF">
        <w:rPr>
          <w:lang w:eastAsia="fr-FR"/>
        </w:rPr>
        <w:t>to join the</w:t>
      </w:r>
      <w:r w:rsidRPr="008627F7">
        <w:t xml:space="preserve"> joint submission</w:t>
      </w:r>
      <w:r w:rsidRPr="00FF32BF">
        <w:rPr>
          <w:lang w:eastAsia="fr-FR"/>
        </w:rPr>
        <w:t>.</w:t>
      </w:r>
      <w:r w:rsidRPr="008627F7">
        <w:t xml:space="preserve"> The Non-Lead Member will only receive </w:t>
      </w:r>
      <w:r w:rsidRPr="00FF32BF">
        <w:rPr>
          <w:lang w:eastAsia="fr-FR"/>
        </w:rPr>
        <w:t>a</w:t>
      </w:r>
      <w:r w:rsidRPr="008627F7">
        <w:t xml:space="preserve"> valid security token number after payment of the invoice</w:t>
      </w:r>
      <w:r w:rsidR="004E448B">
        <w:t xml:space="preserve"> for the Joint Submission Compensation</w:t>
      </w:r>
      <w:r w:rsidRPr="008627F7">
        <w:t xml:space="preserve">. Payment is due within 1 (one) month after receipt of </w:t>
      </w:r>
      <w:r w:rsidRPr="00FF32BF">
        <w:rPr>
          <w:lang w:eastAsia="fr-FR"/>
        </w:rPr>
        <w:t>the</w:t>
      </w:r>
      <w:r w:rsidRPr="008627F7">
        <w:t xml:space="preserve"> invoice issued by the Lead Registrant</w:t>
      </w:r>
      <w:r w:rsidRPr="00FF32BF">
        <w:rPr>
          <w:lang w:eastAsia="fr-FR"/>
        </w:rPr>
        <w:t xml:space="preserve"> or any legal entity acting on his behalf</w:t>
      </w:r>
      <w:r w:rsidRPr="008627F7">
        <w:t xml:space="preserve">. </w:t>
      </w:r>
    </w:p>
    <w:p w:rsidR="00994A7E" w:rsidRPr="008627F7" w:rsidRDefault="00994A7E" w:rsidP="008627F7">
      <w:pPr>
        <w:pStyle w:val="Paragraph"/>
        <w:numPr>
          <w:ilvl w:val="1"/>
          <w:numId w:val="14"/>
        </w:numPr>
      </w:pPr>
      <w:r w:rsidRPr="008627F7">
        <w:t xml:space="preserve">In case new studies have to be purchased or performed or other dossier preparation, administrative or other cost have to be engaged after conclusion of this Agreement, the resulting cost will be divided </w:t>
      </w:r>
      <w:r w:rsidRPr="005840E6">
        <w:rPr>
          <w:lang w:eastAsia="fr-FR"/>
        </w:rPr>
        <w:t xml:space="preserve">in accordance with Annex 2 to this Agreement </w:t>
      </w:r>
      <w:r w:rsidRPr="008627F7">
        <w:t xml:space="preserve">between all </w:t>
      </w:r>
      <w:r w:rsidRPr="005840E6">
        <w:rPr>
          <w:lang w:eastAsia="fr-FR"/>
        </w:rPr>
        <w:t>Members of the Joint Submission</w:t>
      </w:r>
      <w:r w:rsidRPr="008627F7">
        <w:t xml:space="preserve"> who are required to incorporate the results of these new studies into their registration </w:t>
      </w:r>
      <w:r w:rsidRPr="005840E6">
        <w:rPr>
          <w:lang w:eastAsia="fr-FR"/>
        </w:rPr>
        <w:t>dossiers</w:t>
      </w:r>
      <w:r w:rsidRPr="008627F7">
        <w:t xml:space="preserve">, unless they claim to opt out in accordance with Article 11 (3) REACH. </w:t>
      </w:r>
      <w:r w:rsidRPr="005840E6">
        <w:rPr>
          <w:lang w:eastAsia="fr-FR"/>
        </w:rPr>
        <w:t>The Non-Lead Member will be granted on these new studies</w:t>
      </w:r>
      <w:r w:rsidRPr="005840E6">
        <w:t xml:space="preserve"> the </w:t>
      </w:r>
      <w:r w:rsidRPr="005840E6">
        <w:rPr>
          <w:lang w:eastAsia="fr-FR"/>
        </w:rPr>
        <w:t xml:space="preserve">same rights as referred to under </w:t>
      </w:r>
      <w:r>
        <w:rPr>
          <w:lang w:eastAsia="fr-FR"/>
        </w:rPr>
        <w:t>Paragraph</w:t>
      </w:r>
      <w:r w:rsidRPr="005840E6">
        <w:rPr>
          <w:lang w:eastAsia="fr-FR"/>
        </w:rPr>
        <w:t xml:space="preserve"> </w:t>
      </w:r>
      <w:r>
        <w:rPr>
          <w:lang w:eastAsia="fr-FR"/>
        </w:rPr>
        <w:fldChar w:fldCharType="begin"/>
      </w:r>
      <w:r>
        <w:rPr>
          <w:lang w:eastAsia="fr-FR"/>
        </w:rPr>
        <w:instrText xml:space="preserve"> REF _Ref6935758 \r \h </w:instrText>
      </w:r>
      <w:r>
        <w:rPr>
          <w:lang w:eastAsia="fr-FR"/>
        </w:rPr>
      </w:r>
      <w:r>
        <w:rPr>
          <w:lang w:eastAsia="fr-FR"/>
        </w:rPr>
        <w:fldChar w:fldCharType="separate"/>
      </w:r>
      <w:r>
        <w:rPr>
          <w:lang w:eastAsia="fr-FR"/>
        </w:rPr>
        <w:t>VII.1</w:t>
      </w:r>
      <w:r>
        <w:rPr>
          <w:lang w:eastAsia="fr-FR"/>
        </w:rPr>
        <w:fldChar w:fldCharType="end"/>
      </w:r>
      <w:r>
        <w:rPr>
          <w:lang w:eastAsia="fr-FR"/>
        </w:rPr>
        <w:fldChar w:fldCharType="begin"/>
      </w:r>
      <w:r>
        <w:rPr>
          <w:lang w:eastAsia="fr-FR"/>
        </w:rPr>
        <w:instrText xml:space="preserve"> REF _Ref6935799 \r \h </w:instrText>
      </w:r>
      <w:r>
        <w:rPr>
          <w:lang w:eastAsia="fr-FR"/>
        </w:rPr>
      </w:r>
      <w:r>
        <w:rPr>
          <w:lang w:eastAsia="fr-FR"/>
        </w:rPr>
        <w:fldChar w:fldCharType="separate"/>
      </w:r>
      <w:r>
        <w:rPr>
          <w:lang w:eastAsia="fr-FR"/>
        </w:rPr>
        <w:t>a)</w:t>
      </w:r>
      <w:r>
        <w:rPr>
          <w:lang w:eastAsia="fr-FR"/>
        </w:rPr>
        <w:fldChar w:fldCharType="end"/>
      </w:r>
      <w:r>
        <w:rPr>
          <w:lang w:eastAsia="fr-FR"/>
        </w:rPr>
        <w:t>.</w:t>
      </w:r>
      <w:r w:rsidRPr="008627F7">
        <w:t xml:space="preserve"> </w:t>
      </w:r>
    </w:p>
    <w:p w:rsidR="00994A7E" w:rsidRPr="00FF32BF" w:rsidRDefault="00994A7E" w:rsidP="00994A7E">
      <w:pPr>
        <w:pStyle w:val="Paragraph"/>
        <w:numPr>
          <w:ilvl w:val="1"/>
          <w:numId w:val="14"/>
        </w:numPr>
      </w:pPr>
      <w:r w:rsidRPr="00FF32BF">
        <w:rPr>
          <w:lang w:eastAsia="fr-FR"/>
        </w:rPr>
        <w:t xml:space="preserve">Upon signature of the present Agreement, the Parties agree to be bound by the cost sharing mechanism mentioned under Annex 2 herein. Furthermore, the cost sharing mechanism shall be based on the criteria of fairness, transparency and non-discrimination, and shall take into account, inter alia, the following factors: (i) the variable number of registrants joining the Joint Submission; (ii) any additional information requirements for the successful </w:t>
      </w:r>
      <w:r w:rsidRPr="00FF32BF">
        <w:t>submission of the Joint Registration Dossier</w:t>
      </w:r>
      <w:r w:rsidRPr="00FF32BF">
        <w:rPr>
          <w:lang w:eastAsia="fr-FR"/>
        </w:rPr>
        <w:t>; (iii) future</w:t>
      </w:r>
      <w:r w:rsidRPr="00FF32BF">
        <w:t xml:space="preserve"> costs </w:t>
      </w:r>
      <w:r w:rsidRPr="00FF32BF">
        <w:rPr>
          <w:lang w:eastAsia="fr-FR"/>
        </w:rPr>
        <w:t>including, but not limited to, the costs arising from a decision adopted by the Agency in accordance with Title VI of REACH.</w:t>
      </w:r>
    </w:p>
    <w:p w:rsidR="00994A7E" w:rsidRPr="00FF32BF" w:rsidRDefault="00994A7E" w:rsidP="00994A7E">
      <w:pPr>
        <w:pStyle w:val="Paragraph"/>
        <w:numPr>
          <w:ilvl w:val="1"/>
          <w:numId w:val="14"/>
        </w:numPr>
        <w:rPr>
          <w:lang w:eastAsia="fr-FR"/>
        </w:rPr>
      </w:pPr>
      <w:r w:rsidRPr="00FF32BF">
        <w:rPr>
          <w:lang w:eastAsia="fr-FR"/>
        </w:rPr>
        <w:t xml:space="preserve">Parties hereby agree to be bound by the recalculation of the study and non-study costs related to registration made by the </w:t>
      </w:r>
      <w:r w:rsidRPr="00FF32BF">
        <w:t xml:space="preserve">Lead Registrant </w:t>
      </w:r>
      <w:r w:rsidRPr="00FF32BF">
        <w:rPr>
          <w:lang w:eastAsia="fr-FR"/>
        </w:rPr>
        <w:t xml:space="preserve">after the 2018 registration deadline and successively on a regular basis at the discretion of the Lead Registrant, and to share subsequently the aforementioned costs in a fair, transparent and non-discriminatory manner. </w:t>
      </w:r>
    </w:p>
    <w:p w:rsidR="00994A7E" w:rsidRPr="00FF32BF" w:rsidRDefault="00994A7E" w:rsidP="00994A7E">
      <w:pPr>
        <w:pStyle w:val="Paragraph"/>
        <w:numPr>
          <w:ilvl w:val="1"/>
          <w:numId w:val="14"/>
        </w:numPr>
      </w:pPr>
      <w:r w:rsidRPr="00FF32BF">
        <w:rPr>
          <w:lang w:eastAsia="fr-FR"/>
        </w:rPr>
        <w:t xml:space="preserve">When cost and income estimations related to the Joint Registration Dossier change, in particular after the aforementioned 2018 recalculation, additional </w:t>
      </w:r>
      <w:r w:rsidRPr="00FF32BF">
        <w:t xml:space="preserve">payments </w:t>
      </w:r>
      <w:r w:rsidRPr="00FF32BF">
        <w:rPr>
          <w:lang w:eastAsia="fr-FR"/>
        </w:rPr>
        <w:t>or refunds respectively may be initiated by the Lead Registrant. For both payments and refunds a threshold of 1.000 € per joint registrant is applicable</w:t>
      </w:r>
      <w:r w:rsidRPr="00FF32BF">
        <w:t xml:space="preserve">. </w:t>
      </w:r>
      <w:r w:rsidR="004E448B">
        <w:t xml:space="preserve">Based on the above paragraphs and when necessary, the Lead Registrant will send an invoice to the Non-Lead Member. Payments are due within 1 (one) month after the invoice issue by the Lead Registrant or any legal entity acting on his behalf.    </w:t>
      </w:r>
    </w:p>
    <w:p w:rsidR="00994A7E" w:rsidRPr="008627F7" w:rsidRDefault="00994A7E" w:rsidP="008627F7">
      <w:pPr>
        <w:pStyle w:val="Paragraph"/>
        <w:numPr>
          <w:ilvl w:val="1"/>
          <w:numId w:val="14"/>
        </w:numPr>
      </w:pPr>
      <w:r w:rsidRPr="008627F7">
        <w:t xml:space="preserve">If the SIEF comprises various Affiliates of the Non-Lead Member, </w:t>
      </w:r>
      <w:r w:rsidRPr="00FF32BF">
        <w:rPr>
          <w:lang w:eastAsia="fr-FR"/>
        </w:rPr>
        <w:t>the Non-Lead Member</w:t>
      </w:r>
      <w:r w:rsidRPr="008627F7">
        <w:t xml:space="preserve"> shall be subject to the obligation to compensate the Joint Registration Dossier calculated on </w:t>
      </w:r>
      <w:r w:rsidRPr="00FF32BF">
        <w:rPr>
          <w:lang w:eastAsia="fr-FR"/>
        </w:rPr>
        <w:t>the basis</w:t>
      </w:r>
      <w:r w:rsidRPr="008627F7">
        <w:t xml:space="preserve"> of the </w:t>
      </w:r>
      <w:r w:rsidRPr="00FF32BF">
        <w:rPr>
          <w:lang w:eastAsia="fr-FR"/>
        </w:rPr>
        <w:t xml:space="preserve">single </w:t>
      </w:r>
      <w:r w:rsidRPr="008627F7">
        <w:t xml:space="preserve">highest tonnage band of </w:t>
      </w:r>
      <w:r w:rsidRPr="00FF32BF">
        <w:rPr>
          <w:lang w:eastAsia="fr-FR"/>
        </w:rPr>
        <w:t xml:space="preserve">the Non-Lead Member and </w:t>
      </w:r>
      <w:r w:rsidRPr="008627F7">
        <w:t xml:space="preserve">all </w:t>
      </w:r>
      <w:r w:rsidRPr="00FF32BF">
        <w:rPr>
          <w:lang w:eastAsia="fr-FR"/>
        </w:rPr>
        <w:t>its</w:t>
      </w:r>
      <w:r w:rsidRPr="008627F7">
        <w:t xml:space="preserve"> Affiliates</w:t>
      </w:r>
      <w:r w:rsidRPr="00FF32BF">
        <w:t>.</w:t>
      </w:r>
      <w:r w:rsidRPr="008627F7">
        <w:t xml:space="preserve"> Accordingly, the Affiliates of the compensating Non-Lead member shall also have the right to refer to the Joint Registration Dossier under the same conditions without additional payment. In that case, the Non-Lead Member that has paid the compensation is responsible for compliance of its Affiliates with the rights and obligations pursuant to this Agreement, including the confidentiality obligations under Title I, </w:t>
      </w:r>
      <w:r>
        <w:fldChar w:fldCharType="begin"/>
      </w:r>
      <w:r>
        <w:instrText xml:space="preserve"> REF _Ref6935833 \r \h </w:instrText>
      </w:r>
      <w:r>
        <w:fldChar w:fldCharType="separate"/>
      </w:r>
      <w:r>
        <w:t>Article II</w:t>
      </w:r>
      <w:r>
        <w:fldChar w:fldCharType="end"/>
      </w:r>
      <w:r w:rsidRPr="008627F7">
        <w:t xml:space="preserve"> of this Agreement</w:t>
      </w:r>
      <w:r w:rsidRPr="00FF32BF">
        <w:t>.</w:t>
      </w:r>
      <w:r w:rsidRPr="00CF73CE">
        <w:t xml:space="preserve"> </w:t>
      </w:r>
      <w:bookmarkStart w:id="33" w:name="OLE_LINK1"/>
    </w:p>
    <w:p w:rsidR="00994A7E" w:rsidRPr="00CF73CE" w:rsidRDefault="00994A7E" w:rsidP="004E448B">
      <w:pPr>
        <w:pStyle w:val="Paragraph"/>
        <w:numPr>
          <w:ilvl w:val="1"/>
          <w:numId w:val="14"/>
        </w:numPr>
      </w:pPr>
      <w:r w:rsidRPr="00CF73CE">
        <w:t xml:space="preserve">If an </w:t>
      </w:r>
      <w:r w:rsidR="004E448B">
        <w:t>O</w:t>
      </w:r>
      <w:r w:rsidR="004E448B" w:rsidRPr="00CF73CE">
        <w:t xml:space="preserve">nly </w:t>
      </w:r>
      <w:r w:rsidR="004E448B">
        <w:t>R</w:t>
      </w:r>
      <w:r w:rsidR="004E448B" w:rsidRPr="00CF73CE">
        <w:t xml:space="preserve">epresentative </w:t>
      </w:r>
      <w:r w:rsidRPr="00CF73CE">
        <w:t xml:space="preserve">represents more than </w:t>
      </w:r>
      <w:r w:rsidRPr="008627F7">
        <w:t xml:space="preserve">one non-EU entity within the SIEF, such </w:t>
      </w:r>
      <w:r w:rsidR="004E448B">
        <w:t>O</w:t>
      </w:r>
      <w:r w:rsidR="004E448B" w:rsidRPr="008627F7">
        <w:t xml:space="preserve">nly </w:t>
      </w:r>
      <w:r w:rsidR="004E448B">
        <w:t>R</w:t>
      </w:r>
      <w:r w:rsidR="004E448B" w:rsidRPr="008627F7">
        <w:t xml:space="preserve">epresentative </w:t>
      </w:r>
      <w:r w:rsidRPr="008627F7">
        <w:t>shall compensate</w:t>
      </w:r>
      <w:r w:rsidRPr="00CF73CE">
        <w:t xml:space="preserve"> the Lead Registrant on account of each non-EU entity it represents by the payment of a separate Joint Registration Compensation </w:t>
      </w:r>
      <w:r w:rsidR="004E448B" w:rsidRPr="004E448B">
        <w:t xml:space="preserve">and any other invoice pursuant to Paragraph </w:t>
      </w:r>
      <w:r w:rsidR="00281D05">
        <w:t>8</w:t>
      </w:r>
      <w:r w:rsidR="004E448B" w:rsidRPr="004E448B">
        <w:t xml:space="preserve"> above </w:t>
      </w:r>
      <w:r w:rsidRPr="00CF73CE">
        <w:t xml:space="preserve">per </w:t>
      </w:r>
      <w:r w:rsidR="004E448B">
        <w:t>n</w:t>
      </w:r>
      <w:r w:rsidR="004E448B" w:rsidRPr="00CF73CE">
        <w:t>on</w:t>
      </w:r>
      <w:r w:rsidRPr="00CF73CE">
        <w:t xml:space="preserve">-EU entity </w:t>
      </w:r>
      <w:r w:rsidRPr="008627F7">
        <w:t>and its Affiliates</w:t>
      </w:r>
      <w:r w:rsidRPr="00CF73CE">
        <w:t>.</w:t>
      </w:r>
      <w:r w:rsidRPr="00FF32BF">
        <w:rPr>
          <w:lang w:eastAsia="fr-FR"/>
        </w:rPr>
        <w:t xml:space="preserve"> The Affiliates of each of the non-EU entities represented by an Only Representatives being a Non-Lead Member, shall also have the right to refer to the Joint Registration Dossier under the same conditions and without additional payment pursuant to Paragraph 9 above. In that case, the Only Representatives being a Non-Lead Member that has paid the compensation is responsible for compliance of the Affiliates with the rights and obligations pursuant to this Agreement, including the confidentiality obligations under Title I, </w:t>
      </w:r>
      <w:r>
        <w:rPr>
          <w:lang w:eastAsia="fr-FR"/>
        </w:rPr>
        <w:fldChar w:fldCharType="begin"/>
      </w:r>
      <w:r>
        <w:rPr>
          <w:lang w:eastAsia="fr-FR"/>
        </w:rPr>
        <w:instrText xml:space="preserve"> REF _Ref6935844 \r \h </w:instrText>
      </w:r>
      <w:r>
        <w:rPr>
          <w:lang w:eastAsia="fr-FR"/>
        </w:rPr>
      </w:r>
      <w:r>
        <w:rPr>
          <w:lang w:eastAsia="fr-FR"/>
        </w:rPr>
        <w:fldChar w:fldCharType="separate"/>
      </w:r>
      <w:r>
        <w:rPr>
          <w:lang w:eastAsia="fr-FR"/>
        </w:rPr>
        <w:t>Article II</w:t>
      </w:r>
      <w:r>
        <w:rPr>
          <w:lang w:eastAsia="fr-FR"/>
        </w:rPr>
        <w:fldChar w:fldCharType="end"/>
      </w:r>
      <w:r w:rsidRPr="00FF32BF">
        <w:rPr>
          <w:lang w:eastAsia="fr-FR"/>
        </w:rPr>
        <w:t xml:space="preserve"> of this Agreement.</w:t>
      </w:r>
    </w:p>
    <w:p w:rsidR="00994A7E" w:rsidRPr="008627F7" w:rsidRDefault="00994A7E" w:rsidP="008627F7">
      <w:pPr>
        <w:pStyle w:val="Paragraph"/>
        <w:numPr>
          <w:ilvl w:val="1"/>
          <w:numId w:val="14"/>
        </w:numPr>
      </w:pPr>
      <w:r w:rsidRPr="00CF73CE">
        <w:t xml:space="preserve">If a </w:t>
      </w:r>
      <w:r w:rsidRPr="00FF32BF">
        <w:rPr>
          <w:lang w:eastAsia="fr-FR"/>
        </w:rPr>
        <w:t>Third Party Representative</w:t>
      </w:r>
      <w:r w:rsidRPr="00CF73CE">
        <w:t xml:space="preserve"> represents more than one entity within the SIEF, such </w:t>
      </w:r>
      <w:r w:rsidRPr="00FF32BF">
        <w:rPr>
          <w:lang w:eastAsia="fr-FR"/>
        </w:rPr>
        <w:t>Third Party Representative</w:t>
      </w:r>
      <w:r w:rsidRPr="00CF73CE">
        <w:t xml:space="preserve"> shall compensate the Lead Registrant on account of each entity it represents by the payment of a separate Joint Registration Compensation </w:t>
      </w:r>
      <w:r w:rsidR="00281D05" w:rsidRPr="004E448B">
        <w:t xml:space="preserve">and any other invoice pursuant to Paragraph </w:t>
      </w:r>
      <w:r w:rsidR="00281D05">
        <w:t>8</w:t>
      </w:r>
      <w:r w:rsidR="00281D05" w:rsidRPr="004E448B">
        <w:t xml:space="preserve"> above </w:t>
      </w:r>
      <w:r w:rsidRPr="00CF73CE">
        <w:t xml:space="preserve">per entity </w:t>
      </w:r>
      <w:r w:rsidRPr="008627F7">
        <w:t>and its Affiliates.</w:t>
      </w:r>
      <w:r w:rsidRPr="00FF32BF">
        <w:rPr>
          <w:lang w:eastAsia="fr-FR"/>
        </w:rPr>
        <w:t xml:space="preserve"> The Affiliates of each of the entities represented by a Third Party Representative being a Non-Lead Member, shall also have the right to refer to the Joint Registration Dossier under the same conditions and without additional payment pursuant to Paragraph 9 above. In that case, the legal entity that has paid the compensation is directly responsible for compliance of the Affiliates with the rights and obligations pursuant to this Agreement, including the confidentiality obligations under Title I, </w:t>
      </w:r>
      <w:r>
        <w:rPr>
          <w:lang w:eastAsia="fr-FR"/>
        </w:rPr>
        <w:fldChar w:fldCharType="begin"/>
      </w:r>
      <w:r>
        <w:rPr>
          <w:lang w:eastAsia="fr-FR"/>
        </w:rPr>
        <w:instrText xml:space="preserve"> REF _Ref6935853 \r \h </w:instrText>
      </w:r>
      <w:r>
        <w:rPr>
          <w:lang w:eastAsia="fr-FR"/>
        </w:rPr>
      </w:r>
      <w:r>
        <w:rPr>
          <w:lang w:eastAsia="fr-FR"/>
        </w:rPr>
        <w:fldChar w:fldCharType="separate"/>
      </w:r>
      <w:r>
        <w:rPr>
          <w:lang w:eastAsia="fr-FR"/>
        </w:rPr>
        <w:t>Article II</w:t>
      </w:r>
      <w:r>
        <w:rPr>
          <w:lang w:eastAsia="fr-FR"/>
        </w:rPr>
        <w:fldChar w:fldCharType="end"/>
      </w:r>
      <w:r w:rsidRPr="00FF32BF">
        <w:rPr>
          <w:lang w:eastAsia="fr-FR"/>
        </w:rPr>
        <w:t xml:space="preserve"> of this Agreement.</w:t>
      </w:r>
    </w:p>
    <w:bookmarkEnd w:id="33"/>
    <w:p w:rsidR="00994A7E" w:rsidRPr="00FF32BF" w:rsidRDefault="00994A7E" w:rsidP="00994A7E">
      <w:pPr>
        <w:pStyle w:val="Paragraph"/>
        <w:numPr>
          <w:ilvl w:val="1"/>
          <w:numId w:val="14"/>
        </w:numPr>
        <w:rPr>
          <w:lang w:eastAsia="fr-FR"/>
        </w:rPr>
      </w:pPr>
      <w:r w:rsidRPr="00FF32BF">
        <w:rPr>
          <w:lang w:eastAsia="fr-FR"/>
        </w:rPr>
        <w:t xml:space="preserve">Upon signature of the present Agreement, the Non-Lead Member shall be bound by the obligation to inform the Lead </w:t>
      </w:r>
      <w:r>
        <w:rPr>
          <w:lang w:eastAsia="fr-FR"/>
        </w:rPr>
        <w:t>R</w:t>
      </w:r>
      <w:r w:rsidRPr="00FF32BF">
        <w:rPr>
          <w:lang w:eastAsia="fr-FR"/>
        </w:rPr>
        <w:t xml:space="preserve">egistrant of any changes in their corporate structure that can have an impact on this Agreement. In case the Affiliates companies mentioned above cease to meet the definition of Affiliate set out under </w:t>
      </w:r>
      <w:r>
        <w:rPr>
          <w:lang w:eastAsia="fr-FR"/>
        </w:rPr>
        <w:fldChar w:fldCharType="begin"/>
      </w:r>
      <w:r>
        <w:rPr>
          <w:lang w:eastAsia="fr-FR"/>
        </w:rPr>
        <w:instrText xml:space="preserve"> REF _Ref6935863 \r \h </w:instrText>
      </w:r>
      <w:r>
        <w:rPr>
          <w:lang w:eastAsia="fr-FR"/>
        </w:rPr>
      </w:r>
      <w:r>
        <w:rPr>
          <w:lang w:eastAsia="fr-FR"/>
        </w:rPr>
        <w:fldChar w:fldCharType="separate"/>
      </w:r>
      <w:r>
        <w:rPr>
          <w:lang w:eastAsia="fr-FR"/>
        </w:rPr>
        <w:t>Article I</w:t>
      </w:r>
      <w:r>
        <w:rPr>
          <w:lang w:eastAsia="fr-FR"/>
        </w:rPr>
        <w:fldChar w:fldCharType="end"/>
      </w:r>
      <w:r w:rsidRPr="00FF32BF">
        <w:rPr>
          <w:lang w:eastAsia="fr-FR"/>
        </w:rPr>
        <w:t xml:space="preserve"> of this Agreement following changes in their corporate structure, these legal entities shall request separately a Letter of Access to the Lead Registrant and compensate individually and separately the Lead Registrant for any rights granted under this Agreement. These obligations shall be legally binding as from the date of non-fulfilment of the definition set out under </w:t>
      </w:r>
      <w:r>
        <w:rPr>
          <w:lang w:eastAsia="fr-FR"/>
        </w:rPr>
        <w:fldChar w:fldCharType="begin"/>
      </w:r>
      <w:r>
        <w:rPr>
          <w:lang w:eastAsia="fr-FR"/>
        </w:rPr>
        <w:instrText xml:space="preserve"> REF _Ref6990175 \r \h </w:instrText>
      </w:r>
      <w:r>
        <w:rPr>
          <w:lang w:eastAsia="fr-FR"/>
        </w:rPr>
      </w:r>
      <w:r>
        <w:rPr>
          <w:lang w:eastAsia="fr-FR"/>
        </w:rPr>
        <w:fldChar w:fldCharType="separate"/>
      </w:r>
      <w:r>
        <w:rPr>
          <w:lang w:eastAsia="fr-FR"/>
        </w:rPr>
        <w:t>Article I</w:t>
      </w:r>
      <w:r>
        <w:rPr>
          <w:lang w:eastAsia="fr-FR"/>
        </w:rPr>
        <w:fldChar w:fldCharType="end"/>
      </w:r>
      <w:r w:rsidRPr="00FF32BF">
        <w:rPr>
          <w:lang w:eastAsia="fr-FR"/>
        </w:rPr>
        <w:t xml:space="preserve"> of this Agreement. </w:t>
      </w:r>
    </w:p>
    <w:p w:rsidR="00994A7E" w:rsidRPr="00CF73CE" w:rsidRDefault="00994A7E" w:rsidP="008627F7">
      <w:pPr>
        <w:pStyle w:val="Paragraph"/>
        <w:numPr>
          <w:ilvl w:val="1"/>
          <w:numId w:val="14"/>
        </w:numPr>
      </w:pPr>
      <w:r w:rsidRPr="00CF73CE">
        <w:t>All payments due hereunder shall be net payments, i.e. free of any bank or transfer charges or similar charges and without deduction of any taxes, levies or other dues payable</w:t>
      </w:r>
      <w:r>
        <w:t>.</w:t>
      </w:r>
      <w:r w:rsidRPr="00CF73CE">
        <w:t xml:space="preserve"> If payer is required to withhold any tax or to make any other deduction from any such payments, then the said payments shall be increased to the extent necessary to ensure that, after making of the required deduction or withholding, payee receives and retains (free from any liability in respect of any such deduction or withholding) a net sum equal to the sum which it would have received and so retained had no such deduction or withholding been made or required to be made (gross-up amount). If upon application of the beneficiary any withholding tax can be reduced, or refunded, or an exemption from withholding tax is granted, payer shall file on behalf of payee for such reduction, refund or exemption. Payee shall render any assistance to payer to obtain such withholding tax reduction, refund or exemption. Payer shall be entitled to any refund of withholding taxes.</w:t>
      </w:r>
    </w:p>
    <w:p w:rsidR="00994A7E" w:rsidRPr="00CF73CE" w:rsidRDefault="00994A7E" w:rsidP="008627F7">
      <w:pPr>
        <w:pStyle w:val="Paragraph"/>
        <w:numPr>
          <w:ilvl w:val="1"/>
          <w:numId w:val="14"/>
        </w:numPr>
      </w:pPr>
      <w:r w:rsidRPr="00CF73CE">
        <w:t>Indirect taxes, including but not limited to Value Added Tax (VAT), Goods and Service Tax (GST), service tax, business tax, as applicable pursuant to the relevant tax law, shall be borne by payer. However, payer is entitled to withhold any payment of indirect taxes unless payee has provided payer with a sufficient invoice for purposes of indirect taxation.</w:t>
      </w:r>
    </w:p>
    <w:p w:rsidR="00994A7E" w:rsidRPr="00CF73CE" w:rsidRDefault="00994A7E" w:rsidP="00994A7E">
      <w:pPr>
        <w:pStyle w:val="Heading2"/>
      </w:pPr>
      <w:bookmarkStart w:id="34" w:name="3._OWNERSHIP_OF_INFORMATION"/>
      <w:bookmarkStart w:id="35" w:name="Article__X._Ownership_of_Information"/>
      <w:bookmarkEnd w:id="34"/>
      <w:bookmarkEnd w:id="35"/>
      <w:r w:rsidRPr="00CF73CE">
        <w:t>Ownership of Information</w:t>
      </w:r>
    </w:p>
    <w:p w:rsidR="00994A7E" w:rsidRPr="00CF73CE" w:rsidRDefault="00994A7E" w:rsidP="008627F7">
      <w:pPr>
        <w:pStyle w:val="Paragraph"/>
        <w:numPr>
          <w:ilvl w:val="1"/>
          <w:numId w:val="14"/>
        </w:numPr>
      </w:pPr>
      <w:r w:rsidRPr="00CF73CE">
        <w:t>This Agreement does not grant any ownership rights or change existing ownership rights to any of the Information provided under this Agreement</w:t>
      </w:r>
      <w:r w:rsidRPr="00CF73CE" w:rsidDel="00EC79CF">
        <w:t xml:space="preserve"> </w:t>
      </w:r>
      <w:r w:rsidRPr="00CF73CE">
        <w:t>to the Non-Lead Member, on whatever form and whenever, by the Lead Registrant, including without limitation, the Joint Registration Dossier.</w:t>
      </w:r>
    </w:p>
    <w:p w:rsidR="00994A7E" w:rsidRPr="00CF73CE" w:rsidRDefault="00994A7E" w:rsidP="008627F7">
      <w:pPr>
        <w:pStyle w:val="Paragraph"/>
        <w:numPr>
          <w:ilvl w:val="1"/>
          <w:numId w:val="14"/>
        </w:numPr>
      </w:pPr>
      <w:r w:rsidRPr="005840E6">
        <w:rPr>
          <w:lang w:eastAsia="fr-FR"/>
        </w:rPr>
        <w:t>The</w:t>
      </w:r>
      <w:r w:rsidRPr="00CF73CE">
        <w:t xml:space="preserve"> Information </w:t>
      </w:r>
      <w:r w:rsidRPr="005840E6">
        <w:rPr>
          <w:lang w:eastAsia="fr-FR"/>
        </w:rPr>
        <w:t xml:space="preserve">provided by the Lead Registrant to the Non-Lead Member </w:t>
      </w:r>
      <w:r w:rsidRPr="00CF73CE">
        <w:t>shall consist in any and all data and/or studies:</w:t>
      </w:r>
    </w:p>
    <w:p w:rsidR="00994A7E" w:rsidRPr="00CF73CE" w:rsidRDefault="00994A7E" w:rsidP="008627F7">
      <w:pPr>
        <w:pStyle w:val="ListParagraph"/>
        <w:numPr>
          <w:ilvl w:val="0"/>
          <w:numId w:val="17"/>
        </w:numPr>
      </w:pPr>
      <w:r w:rsidRPr="00CF73CE">
        <w:t>Individually developed by one of the Lead Members;</w:t>
      </w:r>
    </w:p>
    <w:p w:rsidR="00994A7E" w:rsidRPr="00CF73CE" w:rsidRDefault="00994A7E" w:rsidP="008627F7">
      <w:pPr>
        <w:pStyle w:val="ListParagraph"/>
      </w:pPr>
      <w:r w:rsidRPr="00CF73CE">
        <w:t>Collectively developed by the Lead Members for which they have acquired valid title or right to use; and</w:t>
      </w:r>
    </w:p>
    <w:p w:rsidR="00994A7E" w:rsidRPr="00CF73CE" w:rsidRDefault="00994A7E" w:rsidP="008627F7">
      <w:pPr>
        <w:pStyle w:val="ListParagraph"/>
      </w:pPr>
      <w:r w:rsidRPr="00CF73CE">
        <w:t xml:space="preserve">Acquired from Data Owner(s) for which the Lead Members, or the Lead Registrant as the case may be, have been granted valid rights. </w:t>
      </w:r>
    </w:p>
    <w:p w:rsidR="00994A7E" w:rsidRPr="00CF73CE" w:rsidRDefault="00994A7E" w:rsidP="008627F7">
      <w:pPr>
        <w:pStyle w:val="Paragraph"/>
        <w:numPr>
          <w:ilvl w:val="1"/>
          <w:numId w:val="14"/>
        </w:numPr>
      </w:pPr>
      <w:r w:rsidRPr="00CF73CE">
        <w:t xml:space="preserve">Neither this Agreement nor any disclosure of </w:t>
      </w:r>
      <w:r w:rsidR="00281D05">
        <w:t xml:space="preserve">the </w:t>
      </w:r>
      <w:r w:rsidRPr="00CF73CE">
        <w:t xml:space="preserve">Information shall vest any present or future rights in any patents, trade secrets or property rights and no license is granted. </w:t>
      </w:r>
    </w:p>
    <w:p w:rsidR="00CB3EF0" w:rsidRDefault="00CB3EF0" w:rsidP="00CB3EF0">
      <w:pPr>
        <w:pStyle w:val="Title"/>
        <w:spacing w:after="0"/>
        <w:rPr>
          <w:u w:color="000000"/>
        </w:rPr>
      </w:pPr>
      <w:bookmarkStart w:id="36" w:name="TITLE_III:__FINAL_PROVISIONS"/>
      <w:bookmarkStart w:id="37" w:name="_Toc225218094"/>
      <w:bookmarkEnd w:id="20"/>
      <w:bookmarkEnd w:id="36"/>
    </w:p>
    <w:p w:rsidR="00994A7E" w:rsidRPr="00CF73CE" w:rsidRDefault="00994A7E" w:rsidP="008627F7">
      <w:pPr>
        <w:pStyle w:val="Title"/>
      </w:pPr>
      <w:r w:rsidRPr="008627F7">
        <w:rPr>
          <w:u w:color="000000"/>
        </w:rPr>
        <w:t>TITLE</w:t>
      </w:r>
      <w:r w:rsidRPr="008627F7">
        <w:rPr>
          <w:spacing w:val="-8"/>
          <w:u w:color="000000"/>
        </w:rPr>
        <w:t xml:space="preserve"> </w:t>
      </w:r>
      <w:r w:rsidRPr="008627F7">
        <w:rPr>
          <w:u w:color="000000"/>
        </w:rPr>
        <w:t>III:</w:t>
      </w:r>
      <w:r w:rsidRPr="008627F7">
        <w:rPr>
          <w:spacing w:val="46"/>
          <w:u w:color="000000"/>
        </w:rPr>
        <w:t xml:space="preserve"> </w:t>
      </w:r>
      <w:r w:rsidRPr="008627F7">
        <w:rPr>
          <w:u w:color="000000"/>
        </w:rPr>
        <w:t>FINAL</w:t>
      </w:r>
      <w:r w:rsidRPr="008627F7">
        <w:rPr>
          <w:spacing w:val="-9"/>
          <w:u w:color="000000"/>
        </w:rPr>
        <w:t xml:space="preserve"> </w:t>
      </w:r>
      <w:r w:rsidRPr="008627F7">
        <w:rPr>
          <w:u w:color="000000"/>
        </w:rPr>
        <w:t>PROVISIONS</w:t>
      </w:r>
    </w:p>
    <w:p w:rsidR="00994A7E" w:rsidRPr="00CF73CE" w:rsidRDefault="00994A7E" w:rsidP="00994A7E">
      <w:pPr>
        <w:pStyle w:val="Heading2"/>
      </w:pPr>
      <w:bookmarkStart w:id="38" w:name="Article_XI._Limitation_of_liability"/>
      <w:bookmarkEnd w:id="38"/>
      <w:r w:rsidRPr="00CF73CE">
        <w:t>Limitation</w:t>
      </w:r>
      <w:r w:rsidRPr="008627F7">
        <w:rPr>
          <w:spacing w:val="-8"/>
        </w:rPr>
        <w:t xml:space="preserve"> </w:t>
      </w:r>
      <w:r w:rsidRPr="00CF73CE">
        <w:t>of</w:t>
      </w:r>
      <w:r w:rsidRPr="008627F7">
        <w:rPr>
          <w:spacing w:val="-8"/>
        </w:rPr>
        <w:t xml:space="preserve"> </w:t>
      </w:r>
      <w:r w:rsidRPr="00CF73CE">
        <w:t>liability</w:t>
      </w:r>
      <w:bookmarkEnd w:id="37"/>
    </w:p>
    <w:p w:rsidR="00994A7E" w:rsidRPr="008627F7" w:rsidRDefault="00994A7E" w:rsidP="008627F7">
      <w:pPr>
        <w:pStyle w:val="Paragraph"/>
        <w:numPr>
          <w:ilvl w:val="1"/>
          <w:numId w:val="14"/>
        </w:numPr>
      </w:pPr>
      <w:r w:rsidRPr="008627F7">
        <w:t>The Parties shall undertake their Purpose related activities specified hereunder in good faith and according to all applicable laws and regulations, and they shall use all reasonable endeavours to ensure the best possible results based on the evidence, methods and techniques known at the time.</w:t>
      </w:r>
    </w:p>
    <w:p w:rsidR="00994A7E" w:rsidRPr="008627F7" w:rsidRDefault="00994A7E" w:rsidP="008627F7">
      <w:pPr>
        <w:pStyle w:val="Paragraph"/>
        <w:numPr>
          <w:ilvl w:val="1"/>
          <w:numId w:val="14"/>
        </w:numPr>
      </w:pPr>
      <w:r w:rsidRPr="008627F7">
        <w:t xml:space="preserve">Each Party having </w:t>
      </w:r>
      <w:r w:rsidRPr="005840E6">
        <w:rPr>
          <w:lang w:eastAsia="fr-FR"/>
        </w:rPr>
        <w:t>provided</w:t>
      </w:r>
      <w:r w:rsidRPr="008627F7">
        <w:t xml:space="preserve"> a study which has been used in the Joint Registration Dossier represents to the others </w:t>
      </w:r>
      <w:r w:rsidRPr="008627F7">
        <w:rPr>
          <w:b/>
        </w:rPr>
        <w:t>(i)</w:t>
      </w:r>
      <w:r w:rsidRPr="008627F7">
        <w:t xml:space="preserve"> that it is the rightful owner of the study(ies) and</w:t>
      </w:r>
      <w:r w:rsidRPr="00FF32BF">
        <w:rPr>
          <w:lang w:eastAsia="fr-FR"/>
        </w:rPr>
        <w:t>/or entitled</w:t>
      </w:r>
      <w:r w:rsidRPr="008627F7">
        <w:t xml:space="preserve"> to grant rights therein</w:t>
      </w:r>
      <w:r w:rsidRPr="00FF32BF">
        <w:rPr>
          <w:lang w:eastAsia="fr-FR"/>
        </w:rPr>
        <w:t xml:space="preserve"> or, that he has fulfilled the obligations mentioned under </w:t>
      </w:r>
      <w:r>
        <w:rPr>
          <w:lang w:eastAsia="fr-FR"/>
        </w:rPr>
        <w:t>Paragraph</w:t>
      </w:r>
      <w:r w:rsidRPr="00FF32BF">
        <w:rPr>
          <w:lang w:eastAsia="fr-FR"/>
        </w:rPr>
        <w:t xml:space="preserve"> </w:t>
      </w:r>
      <w:r>
        <w:rPr>
          <w:lang w:eastAsia="fr-FR"/>
        </w:rPr>
        <w:fldChar w:fldCharType="begin"/>
      </w:r>
      <w:r>
        <w:rPr>
          <w:lang w:eastAsia="fr-FR"/>
        </w:rPr>
        <w:instrText xml:space="preserve"> REF _Ref6935877 \r \h </w:instrText>
      </w:r>
      <w:r>
        <w:rPr>
          <w:lang w:eastAsia="fr-FR"/>
        </w:rPr>
      </w:r>
      <w:r>
        <w:rPr>
          <w:lang w:eastAsia="fr-FR"/>
        </w:rPr>
        <w:fldChar w:fldCharType="separate"/>
      </w:r>
      <w:r>
        <w:rPr>
          <w:lang w:eastAsia="fr-FR"/>
        </w:rPr>
        <w:t>VII.4</w:t>
      </w:r>
      <w:r>
        <w:rPr>
          <w:lang w:eastAsia="fr-FR"/>
        </w:rPr>
        <w:fldChar w:fldCharType="end"/>
      </w:r>
      <w:r>
        <w:rPr>
          <w:lang w:eastAsia="fr-FR"/>
        </w:rPr>
        <w:t xml:space="preserve"> </w:t>
      </w:r>
      <w:r w:rsidRPr="00FF32BF">
        <w:rPr>
          <w:lang w:eastAsia="fr-FR"/>
        </w:rPr>
        <w:t>above</w:t>
      </w:r>
      <w:r w:rsidRPr="008627F7">
        <w:t xml:space="preserve">, </w:t>
      </w:r>
      <w:r w:rsidRPr="008627F7">
        <w:rPr>
          <w:b/>
        </w:rPr>
        <w:t>(ii)</w:t>
      </w:r>
      <w:r w:rsidRPr="008627F7">
        <w:t xml:space="preserve"> that, to the knowledge of this Party, these studies do not infringe on the rights, in particular, but without limitation, intellectual property rights, of any third party and </w:t>
      </w:r>
      <w:r w:rsidRPr="008627F7">
        <w:rPr>
          <w:b/>
        </w:rPr>
        <w:t>(iii)</w:t>
      </w:r>
      <w:r w:rsidRPr="008627F7">
        <w:t xml:space="preserve"> that this Party has not received a claim or notice of any alleged infringement.</w:t>
      </w:r>
    </w:p>
    <w:p w:rsidR="00994A7E" w:rsidRPr="008627F7" w:rsidRDefault="00994A7E" w:rsidP="008627F7">
      <w:pPr>
        <w:pStyle w:val="Paragraph"/>
        <w:numPr>
          <w:ilvl w:val="1"/>
          <w:numId w:val="14"/>
        </w:numPr>
      </w:pPr>
      <w:r w:rsidRPr="008627F7">
        <w:t>It is the individual responsibility of each Party to critically assess the Information that is generated or that is made available. Each Party assumes the full responsibility for its own use of the Information so developed or received. No warranty for acceptance by the Agency of the J</w:t>
      </w:r>
      <w:r w:rsidRPr="00CF73CE">
        <w:t>oint Registration Dossier</w:t>
      </w:r>
      <w:r w:rsidRPr="008627F7">
        <w:t xml:space="preserve"> or any data it contains is given.</w:t>
      </w:r>
    </w:p>
    <w:p w:rsidR="00994A7E" w:rsidRPr="008627F7" w:rsidRDefault="00994A7E" w:rsidP="008627F7">
      <w:pPr>
        <w:pStyle w:val="Paragraph"/>
        <w:numPr>
          <w:ilvl w:val="1"/>
          <w:numId w:val="14"/>
        </w:numPr>
      </w:pPr>
      <w:r w:rsidRPr="008627F7">
        <w:t>None of the Parties, including the Lead Registrant, shall be held liable for any direct, indirect or consequential loss or damage incurred by any Party in connection with the activities contemplated in this Agreement, unless caused by gross negligence or wilful misconduct. In particular, the Lead Members, including the Lead Registrant, shall not be held responsible and liable for delays in the completion and submission of the Joint Registration Dossier, unless caused by gross negligence or wilful misconduct.</w:t>
      </w:r>
    </w:p>
    <w:p w:rsidR="00994A7E" w:rsidRPr="00FF32BF" w:rsidRDefault="00994A7E" w:rsidP="00994A7E">
      <w:pPr>
        <w:pStyle w:val="Heading2"/>
      </w:pPr>
      <w:bookmarkStart w:id="39" w:name="Article_XII._Termination"/>
      <w:bookmarkEnd w:id="39"/>
      <w:r>
        <w:t>Termination</w:t>
      </w:r>
    </w:p>
    <w:p w:rsidR="00994A7E" w:rsidRPr="00281D05" w:rsidRDefault="00994A7E" w:rsidP="00994A7E">
      <w:pPr>
        <w:pStyle w:val="Paragraph"/>
        <w:numPr>
          <w:ilvl w:val="1"/>
          <w:numId w:val="14"/>
        </w:numPr>
        <w:rPr>
          <w:lang w:eastAsia="fr-FR"/>
        </w:rPr>
      </w:pPr>
      <w:r w:rsidRPr="008627F7">
        <w:t xml:space="preserve">This Agreement shall </w:t>
      </w:r>
      <w:r w:rsidRPr="00FF32BF">
        <w:rPr>
          <w:lang w:eastAsia="fr-FR"/>
        </w:rPr>
        <w:t>enter into</w:t>
      </w:r>
      <w:r w:rsidRPr="008627F7">
        <w:t xml:space="preserve"> force </w:t>
      </w:r>
      <w:r w:rsidRPr="00FF32BF">
        <w:rPr>
          <w:lang w:eastAsia="fr-FR"/>
        </w:rPr>
        <w:t>as from the date of signing of this Agreement by both Parties.</w:t>
      </w:r>
      <w:r w:rsidR="00281D05">
        <w:rPr>
          <w:lang w:eastAsia="fr-FR"/>
        </w:rPr>
        <w:t xml:space="preserve"> </w:t>
      </w:r>
      <w:r w:rsidRPr="00281D05">
        <w:rPr>
          <w:color w:val="000000"/>
          <w:lang w:eastAsia="fr-FR"/>
        </w:rPr>
        <w:t xml:space="preserve">This Agreement shall remain in full force and effect </w:t>
      </w:r>
      <w:r w:rsidRPr="00281D05">
        <w:rPr>
          <w:color w:val="000000"/>
        </w:rPr>
        <w:t xml:space="preserve">until </w:t>
      </w:r>
      <w:r w:rsidRPr="00281D05">
        <w:rPr>
          <w:color w:val="000000"/>
          <w:lang w:eastAsia="fr-FR"/>
        </w:rPr>
        <w:t xml:space="preserve">it is terminated by mutual agreement of the Parties or upon completion of all regulatory obligations existing between the Parties under REACH, unless terminated by the Non-Lead Member in accordance with Paragraph </w:t>
      </w:r>
      <w:r w:rsidRPr="00281D05">
        <w:rPr>
          <w:color w:val="000000"/>
          <w:lang w:eastAsia="fr-FR"/>
        </w:rPr>
        <w:fldChar w:fldCharType="begin"/>
      </w:r>
      <w:r w:rsidRPr="00281D05">
        <w:rPr>
          <w:color w:val="000000"/>
          <w:lang w:eastAsia="fr-FR"/>
        </w:rPr>
        <w:instrText xml:space="preserve"> REF _Ref6935905 \r \h </w:instrText>
      </w:r>
      <w:r w:rsidRPr="00281D05">
        <w:rPr>
          <w:color w:val="000000"/>
          <w:lang w:eastAsia="fr-FR"/>
        </w:rPr>
      </w:r>
      <w:r w:rsidRPr="00281D05">
        <w:rPr>
          <w:color w:val="000000"/>
          <w:lang w:eastAsia="fr-FR"/>
        </w:rPr>
        <w:fldChar w:fldCharType="separate"/>
      </w:r>
      <w:r w:rsidRPr="00281D05">
        <w:rPr>
          <w:color w:val="000000"/>
          <w:lang w:eastAsia="fr-FR"/>
        </w:rPr>
        <w:t>XII.4</w:t>
      </w:r>
      <w:r w:rsidRPr="00281D05">
        <w:rPr>
          <w:color w:val="000000"/>
          <w:lang w:eastAsia="fr-FR"/>
        </w:rPr>
        <w:fldChar w:fldCharType="end"/>
      </w:r>
      <w:r w:rsidRPr="00281D05">
        <w:rPr>
          <w:color w:val="000000"/>
          <w:lang w:eastAsia="fr-FR"/>
        </w:rPr>
        <w:t xml:space="preserve"> set out below</w:t>
      </w:r>
      <w:r w:rsidRPr="00281D05">
        <w:rPr>
          <w:color w:val="000000"/>
        </w:rPr>
        <w:t xml:space="preserve">. </w:t>
      </w:r>
    </w:p>
    <w:p w:rsidR="00994A7E" w:rsidRPr="008627F7" w:rsidRDefault="00994A7E" w:rsidP="008627F7">
      <w:pPr>
        <w:pStyle w:val="Paragraph"/>
        <w:numPr>
          <w:ilvl w:val="1"/>
          <w:numId w:val="14"/>
        </w:numPr>
      </w:pPr>
      <w:r w:rsidRPr="008627F7">
        <w:t>This Article and the provisions relating to the protection of confidentiality (Article II</w:t>
      </w:r>
      <w:r w:rsidRPr="00FF32BF">
        <w:t>),</w:t>
      </w:r>
      <w:r w:rsidRPr="000D3508">
        <w:t xml:space="preserve"> </w:t>
      </w:r>
      <w:r>
        <w:t>f</w:t>
      </w:r>
      <w:r w:rsidRPr="000D3508">
        <w:t>inancial compensation for the Joint Registration Dossier</w:t>
      </w:r>
      <w:r>
        <w:t xml:space="preserve"> (Article IX</w:t>
      </w:r>
      <w:r w:rsidRPr="008627F7">
        <w:t xml:space="preserve">), ownership of Information (Article X), limitation of the liability (Article XI) </w:t>
      </w:r>
      <w:r w:rsidR="00281D05">
        <w:t xml:space="preserve">and </w:t>
      </w:r>
      <w:r w:rsidR="00281D05" w:rsidRPr="008627F7">
        <w:t xml:space="preserve">dispute resolution and applicable law (Article XV) </w:t>
      </w:r>
      <w:r w:rsidRPr="008627F7">
        <w:t xml:space="preserve">shall survive the termination of this Agreement. With regard to the studies, the obligations specified in Article II of this Agreement shall survive for a period of twelve (12) years following the initial submission to the Agency. With regard to all other Information, the obligations specified in Article II shall survive for a period of </w:t>
      </w:r>
      <w:r w:rsidRPr="00FF32BF">
        <w:rPr>
          <w:lang w:eastAsia="fr-FR"/>
        </w:rPr>
        <w:t>five (</w:t>
      </w:r>
      <w:r w:rsidRPr="008627F7">
        <w:t>5</w:t>
      </w:r>
      <w:r w:rsidRPr="00FF32BF">
        <w:rPr>
          <w:lang w:eastAsia="fr-FR"/>
        </w:rPr>
        <w:t>)</w:t>
      </w:r>
      <w:r w:rsidRPr="008627F7">
        <w:t xml:space="preserve"> years after termination of the SIEF.</w:t>
      </w:r>
    </w:p>
    <w:p w:rsidR="00994A7E" w:rsidRPr="00FF32BF" w:rsidRDefault="00994A7E" w:rsidP="00994A7E">
      <w:pPr>
        <w:pStyle w:val="Paragraph"/>
        <w:numPr>
          <w:ilvl w:val="1"/>
          <w:numId w:val="14"/>
        </w:numPr>
      </w:pPr>
      <w:r w:rsidRPr="008627F7">
        <w:t xml:space="preserve">The </w:t>
      </w:r>
      <w:r w:rsidRPr="00FF32BF">
        <w:t>Lead Registrant has the right to terminate its functions as lead registrant under the cumulative conditions that:</w:t>
      </w:r>
    </w:p>
    <w:p w:rsidR="00994A7E" w:rsidRPr="00FF32BF" w:rsidRDefault="00994A7E" w:rsidP="00994A7E">
      <w:pPr>
        <w:pStyle w:val="ListParagraph"/>
        <w:numPr>
          <w:ilvl w:val="0"/>
          <w:numId w:val="6"/>
        </w:numPr>
      </w:pPr>
      <w:r w:rsidRPr="00FF32BF">
        <w:t xml:space="preserve">it has been validly replaced in its functions within the SIEF; </w:t>
      </w:r>
    </w:p>
    <w:p w:rsidR="00994A7E" w:rsidRPr="00FF32BF" w:rsidRDefault="00994A7E" w:rsidP="00994A7E">
      <w:pPr>
        <w:pStyle w:val="ListParagraph"/>
        <w:numPr>
          <w:ilvl w:val="0"/>
          <w:numId w:val="6"/>
        </w:numPr>
      </w:pPr>
      <w:r w:rsidRPr="00FF32BF">
        <w:t>its assignee has accepted to be bound by the obligations of the Lead Registrant under this Agreement; and</w:t>
      </w:r>
    </w:p>
    <w:p w:rsidR="00994A7E" w:rsidRPr="00FF32BF" w:rsidRDefault="00994A7E" w:rsidP="00994A7E">
      <w:pPr>
        <w:pStyle w:val="ListParagraph"/>
        <w:numPr>
          <w:ilvl w:val="0"/>
          <w:numId w:val="6"/>
        </w:numPr>
      </w:pPr>
      <w:r w:rsidRPr="00FF32BF">
        <w:t xml:space="preserve">the </w:t>
      </w:r>
      <w:r w:rsidRPr="00FF32BF">
        <w:rPr>
          <w:lang w:eastAsia="fr-FR"/>
        </w:rPr>
        <w:t>Non-Lead</w:t>
      </w:r>
      <w:r w:rsidRPr="00FF32BF">
        <w:t xml:space="preserve"> Member has been notified about such replacement. </w:t>
      </w:r>
    </w:p>
    <w:p w:rsidR="00994A7E" w:rsidRPr="00C53B53" w:rsidRDefault="00994A7E" w:rsidP="008627F7">
      <w:pPr>
        <w:pStyle w:val="Paragraph"/>
        <w:numPr>
          <w:ilvl w:val="1"/>
          <w:numId w:val="14"/>
        </w:numPr>
      </w:pPr>
      <w:bookmarkStart w:id="40" w:name="_Ref6935905"/>
      <w:r w:rsidRPr="00FF32BF">
        <w:t xml:space="preserve">The </w:t>
      </w:r>
      <w:r w:rsidRPr="00FF32BF">
        <w:rPr>
          <w:lang w:eastAsia="fr-FR"/>
        </w:rPr>
        <w:t>Non-Lead</w:t>
      </w:r>
      <w:r w:rsidRPr="00FF32BF">
        <w:t xml:space="preserve"> Member has</w:t>
      </w:r>
      <w:r w:rsidRPr="00C53B53">
        <w:t xml:space="preserve"> the right to terminate the present Agreement subject </w:t>
      </w:r>
      <w:r w:rsidRPr="00FF32BF">
        <w:rPr>
          <w:lang w:eastAsia="fr-FR"/>
        </w:rPr>
        <w:t xml:space="preserve">to </w:t>
      </w:r>
      <w:r w:rsidRPr="00C53B53">
        <w:t xml:space="preserve">a prior </w:t>
      </w:r>
      <w:r>
        <w:rPr>
          <w:lang w:eastAsia="fr-FR"/>
        </w:rPr>
        <w:t>three</w:t>
      </w:r>
      <w:r w:rsidRPr="00FF32BF">
        <w:rPr>
          <w:lang w:eastAsia="fr-FR"/>
        </w:rPr>
        <w:t xml:space="preserve"> (</w:t>
      </w:r>
      <w:r>
        <w:rPr>
          <w:lang w:eastAsia="fr-FR"/>
        </w:rPr>
        <w:t>3</w:t>
      </w:r>
      <w:r w:rsidRPr="00FF32BF">
        <w:rPr>
          <w:lang w:eastAsia="fr-FR"/>
        </w:rPr>
        <w:t xml:space="preserve">) months </w:t>
      </w:r>
      <w:r w:rsidRPr="00C53B53">
        <w:t xml:space="preserve">written notice </w:t>
      </w:r>
      <w:r w:rsidRPr="00FF32BF">
        <w:t>to the Lead Registrant</w:t>
      </w:r>
      <w:r w:rsidRPr="00FF32BF">
        <w:rPr>
          <w:lang w:eastAsia="fr-FR"/>
        </w:rPr>
        <w:t>. The termination shall be effective</w:t>
      </w:r>
      <w:r w:rsidRPr="00FF32BF">
        <w:t xml:space="preserve"> </w:t>
      </w:r>
      <w:r w:rsidRPr="00C53B53">
        <w:t xml:space="preserve">at the </w:t>
      </w:r>
      <w:r w:rsidRPr="00FF32BF">
        <w:rPr>
          <w:lang w:eastAsia="fr-FR"/>
        </w:rPr>
        <w:t>end of</w:t>
      </w:r>
      <w:r w:rsidRPr="00FF32BF">
        <w:t xml:space="preserve"> the </w:t>
      </w:r>
      <w:r w:rsidRPr="00FF32BF">
        <w:rPr>
          <w:lang w:eastAsia="fr-FR"/>
        </w:rPr>
        <w:t>aforementioned notice period</w:t>
      </w:r>
      <w:r w:rsidR="0059019C">
        <w:rPr>
          <w:lang w:eastAsia="fr-FR"/>
        </w:rPr>
        <w:t xml:space="preserve"> provided that the Non-Lead Member fulfils its obligations under this Agreement</w:t>
      </w:r>
      <w:r w:rsidRPr="00FF32BF">
        <w:rPr>
          <w:lang w:eastAsia="fr-FR"/>
        </w:rPr>
        <w:t>.</w:t>
      </w:r>
      <w:r w:rsidRPr="00C53B53">
        <w:t xml:space="preserve"> No reimbursement shall be due</w:t>
      </w:r>
      <w:r w:rsidRPr="00FF32BF">
        <w:rPr>
          <w:lang w:eastAsia="fr-FR"/>
        </w:rPr>
        <w:t xml:space="preserve"> and all the rights deriving from this Agreement will be withdrawn </w:t>
      </w:r>
      <w:r w:rsidRPr="00FF32BF">
        <w:rPr>
          <w:i/>
          <w:lang w:eastAsia="fr-FR"/>
        </w:rPr>
        <w:t>ex nunc</w:t>
      </w:r>
      <w:r w:rsidRPr="00FF32BF">
        <w:rPr>
          <w:lang w:eastAsia="fr-FR"/>
        </w:rPr>
        <w:t>. Notwithstanding the above, the Non-Lead Member shall continue to fulfil its own individual obligations deriving from REACH</w:t>
      </w:r>
      <w:r w:rsidRPr="00C53B53">
        <w:t>.</w:t>
      </w:r>
      <w:bookmarkEnd w:id="40"/>
    </w:p>
    <w:p w:rsidR="00994A7E" w:rsidRPr="00CF73CE" w:rsidRDefault="00994A7E" w:rsidP="00994A7E">
      <w:pPr>
        <w:pStyle w:val="Heading2"/>
      </w:pPr>
      <w:r w:rsidRPr="00CF73CE">
        <w:t>Legal entity change</w:t>
      </w:r>
      <w:r w:rsidR="0059019C">
        <w:t xml:space="preserve"> of the Non-Lead Member</w:t>
      </w:r>
    </w:p>
    <w:p w:rsidR="00994A7E" w:rsidRPr="00C53B53" w:rsidRDefault="00994A7E" w:rsidP="00994A7E">
      <w:pPr>
        <w:rPr>
          <w:color w:val="000000"/>
        </w:rPr>
      </w:pPr>
      <w:r w:rsidRPr="00C53B53">
        <w:rPr>
          <w:color w:val="000000"/>
        </w:rPr>
        <w:t xml:space="preserve">The consent of the </w:t>
      </w:r>
      <w:r w:rsidR="0059019C">
        <w:rPr>
          <w:color w:val="000000"/>
        </w:rPr>
        <w:t>Lead Registrant</w:t>
      </w:r>
      <w:r w:rsidRPr="00C53B53">
        <w:rPr>
          <w:color w:val="000000"/>
        </w:rPr>
        <w:t xml:space="preserve"> shall not be required in case </w:t>
      </w:r>
      <w:r w:rsidR="0059019C">
        <w:rPr>
          <w:color w:val="000000"/>
        </w:rPr>
        <w:t>the Non-Lead Member</w:t>
      </w:r>
      <w:r w:rsidRPr="00C53B53">
        <w:rPr>
          <w:color w:val="000000"/>
        </w:rPr>
        <w:t xml:space="preserve"> assigns, transfers or delegates its rights and obligations under this Agreement to any of its Affiliates or to a legal successor in ownership by sale, division, merger or consolidation of all or substantially the whole of the business relevant to the Substance referred to in this Agreement, subject to acceptance by the assignee of the terms of this Agreement, to be notified to the </w:t>
      </w:r>
      <w:r w:rsidR="0059019C">
        <w:rPr>
          <w:color w:val="000000"/>
        </w:rPr>
        <w:t xml:space="preserve">Lead Registrant </w:t>
      </w:r>
      <w:r w:rsidRPr="00C53B53">
        <w:rPr>
          <w:color w:val="000000"/>
        </w:rPr>
        <w:t xml:space="preserve">without undue delay. </w:t>
      </w:r>
      <w:r>
        <w:rPr>
          <w:color w:val="000000"/>
        </w:rPr>
        <w:t xml:space="preserve">In case a </w:t>
      </w:r>
      <w:r w:rsidR="0059019C">
        <w:rPr>
          <w:color w:val="000000"/>
        </w:rPr>
        <w:t>non</w:t>
      </w:r>
      <w:r>
        <w:rPr>
          <w:color w:val="000000"/>
        </w:rPr>
        <w:t xml:space="preserve">-EU entity changes its designated Only Representative, the provisions outlined in the first sentence shall apply </w:t>
      </w:r>
      <w:r w:rsidRPr="00EA39BC">
        <w:rPr>
          <w:i/>
          <w:color w:val="000000"/>
        </w:rPr>
        <w:t>mutatis mutandis</w:t>
      </w:r>
      <w:r>
        <w:rPr>
          <w:color w:val="000000"/>
        </w:rPr>
        <w:t>.</w:t>
      </w:r>
    </w:p>
    <w:p w:rsidR="00994A7E" w:rsidRPr="00C53B53" w:rsidRDefault="00994A7E" w:rsidP="00994A7E">
      <w:pPr>
        <w:pStyle w:val="Heading2"/>
      </w:pPr>
      <w:r w:rsidRPr="00CF73CE">
        <w:t>Administration and reporting of costs</w:t>
      </w:r>
    </w:p>
    <w:p w:rsidR="00994A7E" w:rsidRPr="00C53B53" w:rsidRDefault="00994A7E" w:rsidP="00C53B53">
      <w:pPr>
        <w:pStyle w:val="Paragraph"/>
        <w:numPr>
          <w:ilvl w:val="1"/>
          <w:numId w:val="14"/>
        </w:numPr>
      </w:pPr>
      <w:r w:rsidRPr="00C53B53">
        <w:t>All financial settlements, billings, and reports rendered under this Agreement shall reflect properly the facts which may be relied upon as being complete and accurate in any further recording and reporting made by a Party for any purpose.</w:t>
      </w:r>
    </w:p>
    <w:p w:rsidR="00994A7E" w:rsidRPr="00CF73CE" w:rsidRDefault="00994A7E" w:rsidP="00C53B53">
      <w:pPr>
        <w:pStyle w:val="Paragraph"/>
        <w:numPr>
          <w:ilvl w:val="1"/>
          <w:numId w:val="14"/>
        </w:numPr>
      </w:pPr>
      <w:r w:rsidRPr="00CF73CE">
        <w:t xml:space="preserve">In accordance with generally accepted accounting procedures, documentation will be maintained and preserved including but not limited to written </w:t>
      </w:r>
      <w:r w:rsidRPr="00FF32BF">
        <w:t>and</w:t>
      </w:r>
      <w:r w:rsidRPr="00C53B53">
        <w:t xml:space="preserve"> </w:t>
      </w:r>
      <w:r w:rsidRPr="00CF73CE">
        <w:t xml:space="preserve">electronic records, records on expenses, books of account, correspondence, memoranda and receipts. </w:t>
      </w:r>
    </w:p>
    <w:p w:rsidR="00994A7E" w:rsidRPr="005840E6" w:rsidRDefault="00994A7E" w:rsidP="00994A7E">
      <w:pPr>
        <w:pStyle w:val="Paragraph"/>
        <w:numPr>
          <w:ilvl w:val="1"/>
          <w:numId w:val="14"/>
        </w:numPr>
      </w:pPr>
      <w:bookmarkStart w:id="41" w:name="_Toc225218096"/>
      <w:r w:rsidRPr="00FF32BF">
        <w:t>The Lead Registrant is required to have the relevant data validated by an external auditor annually</w:t>
      </w:r>
      <w:r w:rsidRPr="00FF32BF">
        <w:rPr>
          <w:lang w:eastAsia="fr-FR"/>
        </w:rPr>
        <w:t xml:space="preserve"> </w:t>
      </w:r>
      <w:r w:rsidRPr="00FF32BF">
        <w:t>if requested to do so by a unanimous decision of the Members of the Joint Submission</w:t>
      </w:r>
      <w:r>
        <w:t xml:space="preserve">, the costs of such an external audit to be shared according to </w:t>
      </w:r>
      <w:r w:rsidR="0059019C">
        <w:t xml:space="preserve">Paragraph </w:t>
      </w:r>
      <w:r>
        <w:t>IX.2</w:t>
      </w:r>
      <w:r w:rsidRPr="00FF32BF">
        <w:t>.</w:t>
      </w:r>
    </w:p>
    <w:p w:rsidR="00994A7E" w:rsidRPr="00CF73CE" w:rsidRDefault="00994A7E" w:rsidP="00994A7E">
      <w:pPr>
        <w:pStyle w:val="Heading2"/>
      </w:pPr>
      <w:r w:rsidRPr="00CF73CE">
        <w:t>Dispute resolution and applicable law</w:t>
      </w:r>
      <w:bookmarkEnd w:id="41"/>
    </w:p>
    <w:p w:rsidR="00994A7E" w:rsidRPr="00C53B53" w:rsidRDefault="00994A7E" w:rsidP="00C53B53">
      <w:pPr>
        <w:pStyle w:val="Paragraph"/>
        <w:numPr>
          <w:ilvl w:val="1"/>
          <w:numId w:val="14"/>
        </w:numPr>
      </w:pPr>
      <w:r w:rsidRPr="00C53B53">
        <w:t>The Parties shall first attempt to settle amicably any dispute arising out of this Agreement. Any dispute shall be resolved by arbitration,</w:t>
      </w:r>
      <w:r w:rsidRPr="00CF73CE">
        <w:t xml:space="preserve"> </w:t>
      </w:r>
      <w:r w:rsidRPr="00C53B53">
        <w:t xml:space="preserve">ousting jurisdiction by ordinary courts, by a panel of three arbitrators. Each party to the dispute will nominate one arbitrator. These two arbitrators will then designate a third arbitrator who will also act as chairman. The arbitration decision shall be binding on the parties. The arbitration rules of the ICC shall be applicable. The place of any hearing shall be </w:t>
      </w:r>
      <w:smartTag w:uri="urn:schemas-microsoft-com:office:smarttags" w:element="place">
        <w:smartTag w:uri="urn:schemas-microsoft-com:office:smarttags" w:element="City">
          <w:r w:rsidRPr="00C53B53">
            <w:t>Brussels</w:t>
          </w:r>
        </w:smartTag>
      </w:smartTag>
      <w:r w:rsidRPr="00C53B53">
        <w:t xml:space="preserve"> and the language of the arbitration shall be English. </w:t>
      </w:r>
    </w:p>
    <w:p w:rsidR="00994A7E" w:rsidRPr="00CF73CE" w:rsidRDefault="007E7E70" w:rsidP="0059019C">
      <w:pPr>
        <w:tabs>
          <w:tab w:val="left" w:pos="851"/>
        </w:tabs>
        <w:ind w:left="576"/>
        <w:rPr>
          <w:color w:val="000000"/>
        </w:rPr>
      </w:pPr>
      <w:r>
        <w:rPr>
          <w:color w:val="000000"/>
        </w:rPr>
        <w:t>Notwithstanding the above, e</w:t>
      </w:r>
      <w:r w:rsidR="00994A7E" w:rsidRPr="00CF73CE">
        <w:rPr>
          <w:color w:val="000000"/>
        </w:rPr>
        <w:t>ach Party</w:t>
      </w:r>
      <w:r>
        <w:rPr>
          <w:color w:val="000000"/>
        </w:rPr>
        <w:t>, at its own expenses,</w:t>
      </w:r>
      <w:r w:rsidR="00994A7E" w:rsidRPr="00CF73CE">
        <w:rPr>
          <w:color w:val="000000"/>
        </w:rPr>
        <w:t xml:space="preserve"> may at any time request from any competent judicial authority any interim or conservatory measure.</w:t>
      </w:r>
    </w:p>
    <w:p w:rsidR="00994A7E" w:rsidRPr="00C53B53" w:rsidRDefault="00994A7E" w:rsidP="00C53B53">
      <w:pPr>
        <w:pStyle w:val="Paragraph"/>
        <w:numPr>
          <w:ilvl w:val="1"/>
          <w:numId w:val="14"/>
        </w:numPr>
      </w:pPr>
      <w:r w:rsidRPr="00C53B53">
        <w:t xml:space="preserve">This Agreement shall be governed by the laws of </w:t>
      </w:r>
      <w:r w:rsidRPr="005840E6">
        <w:rPr>
          <w:lang w:eastAsia="nl-NL"/>
        </w:rPr>
        <w:t xml:space="preserve">the Kingdom of </w:t>
      </w:r>
      <w:r w:rsidRPr="00C53B53">
        <w:rPr>
          <w:lang w:eastAsia="nl-NL"/>
        </w:rPr>
        <w:t>Belgium</w:t>
      </w:r>
      <w:r w:rsidR="0059019C">
        <w:rPr>
          <w:lang w:eastAsia="nl-NL"/>
        </w:rPr>
        <w:t xml:space="preserve">, </w:t>
      </w:r>
      <w:r w:rsidR="0059019C" w:rsidRPr="0059019C">
        <w:rPr>
          <w:lang w:eastAsia="nl-NL"/>
        </w:rPr>
        <w:t>excluding its choice of law rules</w:t>
      </w:r>
      <w:r w:rsidRPr="00C53B53">
        <w:rPr>
          <w:lang w:eastAsia="nl-NL"/>
        </w:rPr>
        <w:t>.</w:t>
      </w:r>
    </w:p>
    <w:p w:rsidR="00994A7E" w:rsidRDefault="00994A7E" w:rsidP="00C53B53">
      <w:pPr>
        <w:pStyle w:val="Paragraph"/>
        <w:numPr>
          <w:ilvl w:val="1"/>
          <w:numId w:val="14"/>
        </w:numPr>
      </w:pPr>
      <w:r w:rsidRPr="00CF73CE">
        <w:t>If at any time any provision of this Agreement is or becomes invalid or illegal in any respect, this shall have no effect on the validity of the remaining contractual provisions. The invalid provisions are to be replaced, backdated to the time of their becoming ineffective, by provisions which come closest to achieving their objective.</w:t>
      </w:r>
    </w:p>
    <w:p w:rsidR="00CB3EF0" w:rsidRPr="00CB3EF0" w:rsidRDefault="00CB3EF0" w:rsidP="00CB3EF0">
      <w:pPr>
        <w:rPr>
          <w:b/>
        </w:rPr>
      </w:pPr>
    </w:p>
    <w:p w:rsidR="00085CAA" w:rsidRPr="00085CAA" w:rsidRDefault="00085CAA" w:rsidP="00085CAA">
      <w:pPr>
        <w:pStyle w:val="CommentText"/>
        <w:rPr>
          <w:b/>
          <w:sz w:val="22"/>
          <w:szCs w:val="22"/>
        </w:rPr>
      </w:pPr>
      <w:r w:rsidRPr="00085CAA">
        <w:rPr>
          <w:b/>
          <w:sz w:val="22"/>
          <w:szCs w:val="22"/>
        </w:rPr>
        <w:t>The Parties accept to be validly bound by this Agreement on the date of signature of the present agreement in accordance with Article XII above.</w:t>
      </w:r>
    </w:p>
    <w:p w:rsidR="00085CAA" w:rsidRPr="00085CAA" w:rsidRDefault="00085CAA" w:rsidP="00085CAA">
      <w:pPr>
        <w:pStyle w:val="CommentText"/>
        <w:rPr>
          <w:sz w:val="22"/>
          <w:szCs w:val="22"/>
        </w:rPr>
      </w:pPr>
    </w:p>
    <w:p w:rsidR="00085CAA" w:rsidRPr="00085CAA" w:rsidRDefault="00085CAA" w:rsidP="00085CAA">
      <w:pPr>
        <w:pStyle w:val="CommentText"/>
        <w:rPr>
          <w:sz w:val="22"/>
          <w:szCs w:val="22"/>
        </w:rPr>
      </w:pPr>
    </w:p>
    <w:p w:rsidR="00085CAA" w:rsidRPr="00085CAA" w:rsidRDefault="00085CAA" w:rsidP="00085CAA">
      <w:pPr>
        <w:pStyle w:val="CommentText"/>
        <w:rPr>
          <w:sz w:val="22"/>
          <w:szCs w:val="22"/>
        </w:rPr>
      </w:pPr>
      <w:r w:rsidRPr="00085CAA">
        <w:rPr>
          <w:sz w:val="22"/>
          <w:szCs w:val="22"/>
        </w:rPr>
        <w:t>For the Lead Registrant</w:t>
      </w:r>
    </w:p>
    <w:p w:rsidR="00085CAA" w:rsidRPr="00085CAA" w:rsidRDefault="00085CAA" w:rsidP="00085CAA">
      <w:pPr>
        <w:pStyle w:val="CommentText"/>
        <w:rPr>
          <w:sz w:val="22"/>
          <w:szCs w:val="22"/>
        </w:rPr>
      </w:pPr>
    </w:p>
    <w:p w:rsidR="00085CAA" w:rsidRPr="00085CAA" w:rsidRDefault="00085CAA" w:rsidP="00085CAA">
      <w:pPr>
        <w:pStyle w:val="CommentText"/>
        <w:rPr>
          <w:sz w:val="22"/>
          <w:szCs w:val="22"/>
        </w:rPr>
      </w:pPr>
    </w:p>
    <w:p w:rsidR="00085CAA" w:rsidRPr="00085CAA" w:rsidRDefault="00F15085" w:rsidP="00085CAA">
      <w:pPr>
        <w:pStyle w:val="CommentText"/>
        <w:rPr>
          <w:sz w:val="22"/>
          <w:szCs w:val="22"/>
        </w:rPr>
      </w:pPr>
      <w:r>
        <w:rPr>
          <w:sz w:val="22"/>
          <w:szCs w:val="22"/>
        </w:rPr>
        <w:t xml:space="preserve">Signature: </w:t>
      </w:r>
    </w:p>
    <w:p w:rsidR="00085CAA" w:rsidRPr="00085CAA" w:rsidRDefault="00085CAA" w:rsidP="00085CAA">
      <w:pPr>
        <w:pStyle w:val="CommentText"/>
        <w:rPr>
          <w:sz w:val="22"/>
          <w:szCs w:val="22"/>
        </w:rPr>
      </w:pPr>
    </w:p>
    <w:p w:rsidR="00085CAA" w:rsidRPr="00085CAA" w:rsidRDefault="00085CAA" w:rsidP="00085CAA">
      <w:pPr>
        <w:pStyle w:val="CommentText"/>
        <w:rPr>
          <w:sz w:val="22"/>
          <w:szCs w:val="22"/>
        </w:rPr>
      </w:pPr>
    </w:p>
    <w:p w:rsidR="00085CAA" w:rsidRPr="00085CAA" w:rsidRDefault="00085CAA" w:rsidP="00085CAA">
      <w:pPr>
        <w:pStyle w:val="CommentText"/>
        <w:rPr>
          <w:sz w:val="22"/>
          <w:szCs w:val="22"/>
        </w:rPr>
      </w:pPr>
      <w:r w:rsidRPr="00085CAA">
        <w:rPr>
          <w:sz w:val="22"/>
          <w:szCs w:val="22"/>
        </w:rPr>
        <w:t>For the Non-Lead Member</w:t>
      </w:r>
    </w:p>
    <w:p w:rsidR="00085CAA" w:rsidRPr="00085CAA" w:rsidRDefault="00085CAA" w:rsidP="00085CAA">
      <w:pPr>
        <w:pStyle w:val="CommentText"/>
        <w:rPr>
          <w:sz w:val="22"/>
          <w:szCs w:val="22"/>
        </w:rPr>
      </w:pPr>
    </w:p>
    <w:p w:rsidR="00085CAA" w:rsidRPr="00085CAA" w:rsidRDefault="00085CAA" w:rsidP="00085CAA">
      <w:pPr>
        <w:pStyle w:val="CommentText"/>
        <w:rPr>
          <w:sz w:val="22"/>
          <w:szCs w:val="22"/>
        </w:rPr>
      </w:pPr>
    </w:p>
    <w:p w:rsidR="00994A7E" w:rsidRPr="00C53B53" w:rsidRDefault="00F15085" w:rsidP="00085CAA">
      <w:r>
        <w:t>Signature:</w:t>
      </w:r>
      <w:r w:rsidR="00994A7E" w:rsidRPr="006F2D0B">
        <w:br w:type="page"/>
      </w:r>
    </w:p>
    <w:p w:rsidR="00994A7E" w:rsidRPr="00C53B53" w:rsidRDefault="00994A7E" w:rsidP="00C53B53">
      <w:pPr>
        <w:pStyle w:val="Title"/>
        <w:rPr>
          <w:i/>
        </w:rPr>
      </w:pPr>
      <w:r w:rsidRPr="00CF73CE">
        <w:t>Annex 1</w:t>
      </w:r>
    </w:p>
    <w:p w:rsidR="00994A7E" w:rsidRPr="00C53B53" w:rsidRDefault="00994A7E" w:rsidP="00C53B53">
      <w:pPr>
        <w:pStyle w:val="BodyText"/>
        <w:tabs>
          <w:tab w:val="left" w:pos="420"/>
        </w:tabs>
        <w:ind w:right="113"/>
        <w:jc w:val="center"/>
        <w:rPr>
          <w:i/>
        </w:rPr>
      </w:pPr>
      <w:r w:rsidRPr="00C53B53">
        <w:rPr>
          <w:b/>
        </w:rPr>
        <w:t>Cefic guidance on competition compliance</w:t>
      </w:r>
    </w:p>
    <w:p w:rsidR="00994A7E" w:rsidRPr="005840E6" w:rsidRDefault="00C1087C" w:rsidP="00994A7E">
      <w:pPr>
        <w:rPr>
          <w:color w:val="000000"/>
          <w:lang w:eastAsia="de-DE"/>
        </w:rPr>
      </w:pPr>
      <w:r>
        <w:rPr>
          <w:noProof/>
          <w:lang w:eastAsia="de-DE"/>
        </w:rPr>
        <w:object w:dxaOrig="1440" w:dyaOrig="1440" w14:anchorId="3B5F1B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9.2pt;margin-top:22.05pt;width:70.2pt;height:45.55pt;z-index:251659264">
            <v:imagedata r:id="rId7" o:title=""/>
            <w10:wrap type="square"/>
          </v:shape>
          <o:OLEObject Type="Embed" ProgID="AcroExch.Document.DC" ShapeID="_x0000_s1026" DrawAspect="Icon" ObjectID="_1691243432" r:id="rId8"/>
        </w:object>
      </w:r>
    </w:p>
    <w:p w:rsidR="00994A7E" w:rsidRPr="00C53B53" w:rsidRDefault="00994A7E" w:rsidP="00C53B53"/>
    <w:p w:rsidR="00994A7E" w:rsidRPr="00C53B53" w:rsidRDefault="00994A7E" w:rsidP="00C53B53"/>
    <w:p w:rsidR="007E7E70" w:rsidRDefault="007E7E70">
      <w:pPr>
        <w:spacing w:after="160" w:line="259" w:lineRule="auto"/>
        <w:jc w:val="left"/>
        <w:rPr>
          <w:b/>
          <w:u w:val="single"/>
        </w:rPr>
      </w:pPr>
      <w:r>
        <w:br w:type="page"/>
      </w:r>
    </w:p>
    <w:p w:rsidR="00994A7E" w:rsidRPr="00C53B53" w:rsidRDefault="00994A7E" w:rsidP="00C53B53">
      <w:pPr>
        <w:pStyle w:val="Title"/>
        <w:rPr>
          <w:i/>
        </w:rPr>
      </w:pPr>
      <w:r w:rsidRPr="00CF73CE">
        <w:t>Annex 2</w:t>
      </w:r>
    </w:p>
    <w:p w:rsidR="00994A7E" w:rsidRPr="005840E6" w:rsidRDefault="00994A7E" w:rsidP="00994A7E">
      <w:pPr>
        <w:pStyle w:val="BodyText"/>
        <w:tabs>
          <w:tab w:val="left" w:pos="420"/>
        </w:tabs>
        <w:ind w:right="113"/>
        <w:jc w:val="center"/>
        <w:rPr>
          <w:b/>
        </w:rPr>
      </w:pPr>
      <w:bookmarkStart w:id="42" w:name="_MON_1344418569"/>
      <w:bookmarkEnd w:id="42"/>
      <w:r w:rsidRPr="005840E6">
        <w:rPr>
          <w:b/>
        </w:rPr>
        <w:t>Cost Sharing Model</w:t>
      </w:r>
    </w:p>
    <w:p w:rsidR="00E27BBB" w:rsidRPr="000F5C39" w:rsidRDefault="00E27BBB" w:rsidP="00E27BBB">
      <w:pPr>
        <w:pStyle w:val="BodyText"/>
        <w:tabs>
          <w:tab w:val="left" w:pos="420"/>
        </w:tabs>
        <w:spacing w:after="0"/>
        <w:ind w:right="113"/>
        <w:jc w:val="center"/>
        <w:rPr>
          <w:b/>
          <w:szCs w:val="22"/>
          <w:u w:val="single"/>
          <w:lang w:eastAsia="fr-BE"/>
        </w:rPr>
      </w:pPr>
      <w:r w:rsidRPr="000F5C39">
        <w:rPr>
          <w:b/>
          <w:szCs w:val="22"/>
          <w:u w:val="single"/>
          <w:lang w:eastAsia="fr-BE"/>
        </w:rPr>
        <w:t>Rules on the Calculation of the Costs and Cost Sharing Mechanism</w:t>
      </w:r>
    </w:p>
    <w:p w:rsidR="00E27BBB" w:rsidRPr="000F5C39" w:rsidRDefault="00E27BBB" w:rsidP="00E27BBB">
      <w:pPr>
        <w:autoSpaceDE w:val="0"/>
        <w:autoSpaceDN w:val="0"/>
        <w:adjustRightInd w:val="0"/>
        <w:rPr>
          <w:b/>
          <w:u w:val="single"/>
        </w:rPr>
      </w:pPr>
    </w:p>
    <w:p w:rsidR="00E27BBB" w:rsidRPr="000F5C39" w:rsidRDefault="00E27BBB" w:rsidP="00E27BBB">
      <w:pPr>
        <w:autoSpaceDE w:val="0"/>
        <w:autoSpaceDN w:val="0"/>
        <w:adjustRightInd w:val="0"/>
        <w:rPr>
          <w:b/>
          <w:u w:val="single"/>
        </w:rPr>
      </w:pPr>
      <w:r w:rsidRPr="000F5C39">
        <w:rPr>
          <w:b/>
          <w:u w:val="single"/>
        </w:rPr>
        <w:t>The cost calculation for the joint registration dossier is based on the following cost items:</w:t>
      </w:r>
    </w:p>
    <w:p w:rsidR="00E27BBB" w:rsidRPr="000F5C39" w:rsidRDefault="00E27BBB" w:rsidP="00E27BBB">
      <w:pPr>
        <w:autoSpaceDE w:val="0"/>
        <w:autoSpaceDN w:val="0"/>
        <w:adjustRightInd w:val="0"/>
        <w:rPr>
          <w:b/>
          <w:u w:val="single"/>
        </w:rPr>
      </w:pPr>
    </w:p>
    <w:p w:rsidR="00E27BBB" w:rsidRPr="000F5C39" w:rsidRDefault="00E27BBB" w:rsidP="00E27BBB">
      <w:pPr>
        <w:autoSpaceDE w:val="0"/>
        <w:autoSpaceDN w:val="0"/>
        <w:adjustRightInd w:val="0"/>
        <w:rPr>
          <w:b/>
        </w:rPr>
      </w:pPr>
      <w:r w:rsidRPr="000F5C39">
        <w:rPr>
          <w:b/>
        </w:rPr>
        <w:t xml:space="preserve">(1) Administrative expenses </w:t>
      </w:r>
    </w:p>
    <w:p w:rsidR="00E27BBB" w:rsidRPr="000F5C39" w:rsidRDefault="00E27BBB" w:rsidP="00E27BBB">
      <w:pPr>
        <w:autoSpaceDE w:val="0"/>
        <w:autoSpaceDN w:val="0"/>
        <w:adjustRightInd w:val="0"/>
        <w:rPr>
          <w:b/>
        </w:rPr>
      </w:pPr>
      <w:r w:rsidRPr="000F5C39">
        <w:rPr>
          <w:b/>
        </w:rPr>
        <w:t>(2) Cost for studies included in the Joint Registration Dossier</w:t>
      </w:r>
    </w:p>
    <w:p w:rsidR="00E27BBB" w:rsidRDefault="00E27BBB" w:rsidP="00E27BBB">
      <w:pPr>
        <w:autoSpaceDE w:val="0"/>
        <w:autoSpaceDN w:val="0"/>
        <w:adjustRightInd w:val="0"/>
        <w:rPr>
          <w:b/>
        </w:rPr>
      </w:pPr>
      <w:r w:rsidRPr="000F5C39">
        <w:rPr>
          <w:b/>
        </w:rPr>
        <w:t>(3) Cost for CSR / Guidance on Safe Use</w:t>
      </w:r>
    </w:p>
    <w:p w:rsidR="00E27BBB" w:rsidRDefault="00E27BBB" w:rsidP="00E27BBB">
      <w:pPr>
        <w:autoSpaceDE w:val="0"/>
        <w:autoSpaceDN w:val="0"/>
        <w:adjustRightInd w:val="0"/>
        <w:rPr>
          <w:b/>
        </w:rPr>
      </w:pPr>
      <w:r>
        <w:rPr>
          <w:b/>
        </w:rPr>
        <w:t>(4) Post registration cost-sharing obligations</w:t>
      </w:r>
    </w:p>
    <w:p w:rsidR="00E27BBB" w:rsidRPr="000F5C39" w:rsidRDefault="00E27BBB" w:rsidP="00E27BBB">
      <w:pPr>
        <w:autoSpaceDE w:val="0"/>
        <w:autoSpaceDN w:val="0"/>
        <w:adjustRightInd w:val="0"/>
        <w:rPr>
          <w:b/>
        </w:rPr>
      </w:pPr>
      <w:r>
        <w:rPr>
          <w:b/>
        </w:rPr>
        <w:t>(5) Invoicing and late payment</w:t>
      </w:r>
    </w:p>
    <w:p w:rsidR="00E27BBB" w:rsidRPr="000F5C39" w:rsidRDefault="00E27BBB" w:rsidP="00E27BBB">
      <w:pPr>
        <w:autoSpaceDE w:val="0"/>
        <w:autoSpaceDN w:val="0"/>
        <w:adjustRightInd w:val="0"/>
        <w:rPr>
          <w:b/>
          <w:u w:val="single"/>
        </w:rPr>
      </w:pPr>
    </w:p>
    <w:p w:rsidR="00E27BBB" w:rsidRPr="000F5C39" w:rsidRDefault="00E27BBB" w:rsidP="00E27BBB">
      <w:pPr>
        <w:autoSpaceDE w:val="0"/>
        <w:autoSpaceDN w:val="0"/>
        <w:adjustRightInd w:val="0"/>
      </w:pPr>
      <w:r w:rsidRPr="000F5C39">
        <w:t>These are described below:</w:t>
      </w:r>
    </w:p>
    <w:p w:rsidR="00E27BBB" w:rsidRPr="000F5C39" w:rsidRDefault="00E27BBB" w:rsidP="00E27BBB">
      <w:pPr>
        <w:autoSpaceDE w:val="0"/>
        <w:autoSpaceDN w:val="0"/>
        <w:adjustRightInd w:val="0"/>
        <w:rPr>
          <w:b/>
          <w:u w:val="single"/>
        </w:rPr>
      </w:pPr>
    </w:p>
    <w:p w:rsidR="00E27BBB" w:rsidRPr="000F5C39" w:rsidRDefault="00E27BBB" w:rsidP="00E27BBB">
      <w:pPr>
        <w:numPr>
          <w:ilvl w:val="0"/>
          <w:numId w:val="29"/>
        </w:numPr>
        <w:autoSpaceDE w:val="0"/>
        <w:autoSpaceDN w:val="0"/>
        <w:adjustRightInd w:val="0"/>
        <w:spacing w:after="0"/>
        <w:rPr>
          <w:b/>
          <w:u w:val="single"/>
        </w:rPr>
      </w:pPr>
      <w:r w:rsidRPr="000F5C39">
        <w:rPr>
          <w:b/>
          <w:u w:val="single"/>
        </w:rPr>
        <w:t>Administrative expenses</w:t>
      </w:r>
    </w:p>
    <w:p w:rsidR="00E27BBB" w:rsidRPr="000F5C39" w:rsidRDefault="00E27BBB" w:rsidP="00E27BBB">
      <w:pPr>
        <w:autoSpaceDE w:val="0"/>
        <w:autoSpaceDN w:val="0"/>
        <w:adjustRightInd w:val="0"/>
        <w:rPr>
          <w:b/>
          <w:u w:val="single"/>
        </w:rPr>
      </w:pPr>
    </w:p>
    <w:p w:rsidR="00E27BBB" w:rsidRPr="000F5C39" w:rsidRDefault="00E27BBB" w:rsidP="00E27BBB">
      <w:pPr>
        <w:numPr>
          <w:ilvl w:val="0"/>
          <w:numId w:val="30"/>
        </w:numPr>
        <w:autoSpaceDE w:val="0"/>
        <w:autoSpaceDN w:val="0"/>
        <w:adjustRightInd w:val="0"/>
        <w:spacing w:after="0"/>
        <w:ind w:left="1776"/>
        <w:rPr>
          <w:b/>
          <w:u w:val="single"/>
        </w:rPr>
      </w:pPr>
      <w:r w:rsidRPr="000F5C39">
        <w:rPr>
          <w:b/>
          <w:u w:val="single"/>
        </w:rPr>
        <w:t>Guiding Principle</w:t>
      </w:r>
    </w:p>
    <w:p w:rsidR="00E27BBB" w:rsidRPr="000F5C39" w:rsidRDefault="00E27BBB" w:rsidP="00E27BBB">
      <w:pPr>
        <w:autoSpaceDE w:val="0"/>
        <w:autoSpaceDN w:val="0"/>
        <w:adjustRightInd w:val="0"/>
        <w:ind w:left="1056"/>
      </w:pPr>
      <w:r w:rsidRPr="000F5C39">
        <w:t xml:space="preserve">The work done by the Lead Members in the Formaldehyde Consortium is aimed </w:t>
      </w:r>
      <w:r>
        <w:t>at reducing</w:t>
      </w:r>
      <w:r w:rsidRPr="000F5C39">
        <w:t xml:space="preserve"> cost and efforts in the preparation of the Formaldehyde REACH registration dossier(s) and </w:t>
      </w:r>
      <w:r>
        <w:t>is</w:t>
      </w:r>
      <w:r w:rsidRPr="000F5C39">
        <w:t xml:space="preserve"> made available to all SIEF Members in need to register the Substance Formaldehyde EC 200-001-8, CAS 50-00-0.</w:t>
      </w:r>
    </w:p>
    <w:p w:rsidR="00E27BBB" w:rsidRPr="000F5C39" w:rsidRDefault="00E27BBB" w:rsidP="00E27BBB">
      <w:pPr>
        <w:autoSpaceDE w:val="0"/>
        <w:autoSpaceDN w:val="0"/>
        <w:adjustRightInd w:val="0"/>
        <w:ind w:left="1056"/>
      </w:pPr>
    </w:p>
    <w:p w:rsidR="00E27BBB" w:rsidRPr="000F5C39" w:rsidRDefault="00E27BBB" w:rsidP="00E27BBB">
      <w:pPr>
        <w:autoSpaceDE w:val="0"/>
        <w:autoSpaceDN w:val="0"/>
        <w:adjustRightInd w:val="0"/>
        <w:ind w:left="1056"/>
      </w:pPr>
      <w:r w:rsidRPr="000F5C39">
        <w:t>The operational cost of the consorti</w:t>
      </w:r>
      <w:r>
        <w:t>um</w:t>
      </w:r>
      <w:r w:rsidRPr="000F5C39">
        <w:t xml:space="preserve"> will be determined in a fair, transparent and non-discriminatory way following the spirit of REACH Article 27 (3) and Article 30 (1).</w:t>
      </w:r>
    </w:p>
    <w:p w:rsidR="00E27BBB" w:rsidRPr="000F5C39" w:rsidRDefault="00E27BBB" w:rsidP="00E27BBB">
      <w:pPr>
        <w:autoSpaceDE w:val="0"/>
        <w:autoSpaceDN w:val="0"/>
        <w:adjustRightInd w:val="0"/>
        <w:ind w:left="1056"/>
        <w:rPr>
          <w:b/>
          <w:u w:val="single"/>
        </w:rPr>
      </w:pPr>
    </w:p>
    <w:p w:rsidR="00E27BBB" w:rsidRPr="000F5C39" w:rsidRDefault="00E27BBB" w:rsidP="00E27BBB">
      <w:pPr>
        <w:numPr>
          <w:ilvl w:val="0"/>
          <w:numId w:val="30"/>
        </w:numPr>
        <w:autoSpaceDE w:val="0"/>
        <w:autoSpaceDN w:val="0"/>
        <w:adjustRightInd w:val="0"/>
        <w:spacing w:after="0"/>
        <w:ind w:left="1776"/>
        <w:rPr>
          <w:b/>
          <w:u w:val="single"/>
        </w:rPr>
      </w:pPr>
      <w:r w:rsidRPr="000F5C39">
        <w:rPr>
          <w:b/>
          <w:u w:val="single"/>
        </w:rPr>
        <w:t>Cost included</w:t>
      </w:r>
    </w:p>
    <w:p w:rsidR="00E27BBB" w:rsidRPr="000F5C39" w:rsidRDefault="00E27BBB" w:rsidP="00E27BBB">
      <w:pPr>
        <w:autoSpaceDE w:val="0"/>
        <w:autoSpaceDN w:val="0"/>
        <w:adjustRightInd w:val="0"/>
        <w:ind w:left="1056"/>
      </w:pPr>
      <w:r w:rsidRPr="000F5C39">
        <w:t>- Compensation for the work of the ‘Lead Registrant’</w:t>
      </w:r>
    </w:p>
    <w:p w:rsidR="00E27BBB" w:rsidRPr="000F5C39" w:rsidRDefault="00E27BBB" w:rsidP="00E27BBB">
      <w:pPr>
        <w:autoSpaceDE w:val="0"/>
        <w:autoSpaceDN w:val="0"/>
        <w:adjustRightInd w:val="0"/>
        <w:ind w:left="1056"/>
      </w:pPr>
      <w:r w:rsidRPr="000F5C39">
        <w:t>- Cost for the joint dossier creation</w:t>
      </w:r>
    </w:p>
    <w:p w:rsidR="00E27BBB" w:rsidRPr="000F5C39" w:rsidRDefault="00E27BBB" w:rsidP="00E27BBB">
      <w:pPr>
        <w:autoSpaceDE w:val="0"/>
        <w:autoSpaceDN w:val="0"/>
        <w:adjustRightInd w:val="0"/>
        <w:ind w:left="1056"/>
      </w:pPr>
      <w:r w:rsidRPr="000F5C39">
        <w:t>- Cost for meetings and their organisation</w:t>
      </w:r>
    </w:p>
    <w:p w:rsidR="00E27BBB" w:rsidRPr="000F5C39" w:rsidRDefault="00E27BBB" w:rsidP="00E27BBB">
      <w:pPr>
        <w:autoSpaceDE w:val="0"/>
        <w:autoSpaceDN w:val="0"/>
        <w:adjustRightInd w:val="0"/>
        <w:ind w:left="1056"/>
      </w:pPr>
      <w:r w:rsidRPr="000F5C39">
        <w:t>- Cost for secretariat &amp; secretarial services</w:t>
      </w:r>
    </w:p>
    <w:p w:rsidR="00E27BBB" w:rsidRPr="000F5C39" w:rsidRDefault="00E27BBB" w:rsidP="00E27BBB">
      <w:pPr>
        <w:autoSpaceDE w:val="0"/>
        <w:autoSpaceDN w:val="0"/>
        <w:adjustRightInd w:val="0"/>
        <w:ind w:left="1056"/>
      </w:pPr>
      <w:r w:rsidRPr="000F5C39">
        <w:t xml:space="preserve">- Cost for third party services (Trustees, experts) related to the consortium operation </w:t>
      </w:r>
    </w:p>
    <w:p w:rsidR="00E27BBB" w:rsidRPr="000F5C39" w:rsidRDefault="00E27BBB" w:rsidP="00E27BBB">
      <w:pPr>
        <w:autoSpaceDE w:val="0"/>
        <w:autoSpaceDN w:val="0"/>
        <w:adjustRightInd w:val="0"/>
        <w:ind w:left="1056"/>
      </w:pPr>
    </w:p>
    <w:p w:rsidR="00E27BBB" w:rsidRPr="000F5C39" w:rsidRDefault="00E27BBB" w:rsidP="00E27BBB">
      <w:pPr>
        <w:autoSpaceDE w:val="0"/>
        <w:autoSpaceDN w:val="0"/>
        <w:adjustRightInd w:val="0"/>
        <w:ind w:left="1056"/>
      </w:pPr>
      <w:r w:rsidRPr="000F5C39">
        <w:t>Key for cost sharing of consortium cost:</w:t>
      </w:r>
    </w:p>
    <w:p w:rsidR="00E27BBB" w:rsidRPr="000F5C39" w:rsidRDefault="00E27BBB" w:rsidP="00E27BBB">
      <w:pPr>
        <w:autoSpaceDE w:val="0"/>
        <w:autoSpaceDN w:val="0"/>
        <w:adjustRightInd w:val="0"/>
        <w:ind w:left="1056"/>
      </w:pPr>
    </w:p>
    <w:p w:rsidR="00E27BBB" w:rsidRDefault="00E27BBB" w:rsidP="00E27BBB">
      <w:pPr>
        <w:pStyle w:val="Paragraph"/>
        <w:numPr>
          <w:ilvl w:val="0"/>
          <w:numId w:val="0"/>
        </w:numPr>
        <w:spacing w:after="0"/>
        <w:ind w:left="1056"/>
      </w:pPr>
      <w:r w:rsidRPr="00BA5431">
        <w:t>A</w:t>
      </w:r>
      <w:r>
        <w:t>dministrative costs and dossier</w:t>
      </w:r>
      <w:r w:rsidRPr="00BA5431">
        <w:t xml:space="preserve"> costs are shared on the basis of multiplicative factors.</w:t>
      </w:r>
    </w:p>
    <w:p w:rsidR="00E27BBB" w:rsidRPr="00AA3790" w:rsidRDefault="00E27BBB" w:rsidP="00E27BBB">
      <w:pPr>
        <w:tabs>
          <w:tab w:val="left" w:pos="477"/>
        </w:tabs>
        <w:spacing w:line="259" w:lineRule="exact"/>
        <w:ind w:left="1056" w:right="116"/>
        <w:rPr>
          <w:lang w:val="en-US"/>
        </w:rPr>
      </w:pPr>
    </w:p>
    <w:tbl>
      <w:tblPr>
        <w:tblW w:w="0" w:type="auto"/>
        <w:jc w:val="center"/>
        <w:tblLayout w:type="fixed"/>
        <w:tblCellMar>
          <w:left w:w="0" w:type="dxa"/>
          <w:right w:w="0" w:type="dxa"/>
        </w:tblCellMar>
        <w:tblLook w:val="01E0" w:firstRow="1" w:lastRow="1" w:firstColumn="1" w:lastColumn="1" w:noHBand="0" w:noVBand="0"/>
      </w:tblPr>
      <w:tblGrid>
        <w:gridCol w:w="2938"/>
        <w:gridCol w:w="2939"/>
      </w:tblGrid>
      <w:tr w:rsidR="00E27BBB" w:rsidRPr="00BA5431" w:rsidTr="003C753C">
        <w:trPr>
          <w:trHeight w:hRule="exact" w:val="264"/>
          <w:jc w:val="center"/>
        </w:trPr>
        <w:tc>
          <w:tcPr>
            <w:tcW w:w="2938" w:type="dxa"/>
            <w:tcBorders>
              <w:top w:val="single" w:sz="4" w:space="0" w:color="000000"/>
              <w:left w:val="single" w:sz="4" w:space="0" w:color="000000"/>
              <w:bottom w:val="single" w:sz="4" w:space="0" w:color="000000"/>
              <w:right w:val="single" w:sz="4" w:space="0" w:color="000000"/>
            </w:tcBorders>
          </w:tcPr>
          <w:p w:rsidR="00E27BBB" w:rsidRPr="00BA5431" w:rsidRDefault="00E27BBB" w:rsidP="003C753C">
            <w:pPr>
              <w:pStyle w:val="TableParagraph"/>
              <w:spacing w:line="251" w:lineRule="exact"/>
              <w:ind w:left="698"/>
              <w:rPr>
                <w:rFonts w:cs="Arial"/>
              </w:rPr>
            </w:pPr>
            <w:r w:rsidRPr="00BA5431">
              <w:rPr>
                <w:rFonts w:cs="Arial"/>
                <w:b/>
              </w:rPr>
              <w:t>Volume</w:t>
            </w:r>
            <w:r w:rsidRPr="00BA5431">
              <w:rPr>
                <w:rFonts w:cs="Arial"/>
                <w:b/>
                <w:spacing w:val="2"/>
              </w:rPr>
              <w:t xml:space="preserve"> </w:t>
            </w:r>
            <w:r w:rsidRPr="00BA5431">
              <w:rPr>
                <w:rFonts w:cs="Arial"/>
                <w:b/>
              </w:rPr>
              <w:t>Range</w:t>
            </w:r>
          </w:p>
        </w:tc>
        <w:tc>
          <w:tcPr>
            <w:tcW w:w="2939" w:type="dxa"/>
            <w:tcBorders>
              <w:top w:val="single" w:sz="4" w:space="0" w:color="000000"/>
              <w:left w:val="single" w:sz="4" w:space="0" w:color="000000"/>
              <w:bottom w:val="single" w:sz="4" w:space="0" w:color="000000"/>
              <w:right w:val="single" w:sz="4" w:space="0" w:color="000000"/>
            </w:tcBorders>
          </w:tcPr>
          <w:p w:rsidR="00E27BBB" w:rsidRPr="00BA5431" w:rsidRDefault="00E27BBB" w:rsidP="003C753C">
            <w:pPr>
              <w:pStyle w:val="TableParagraph"/>
              <w:spacing w:line="251" w:lineRule="exact"/>
              <w:ind w:left="429"/>
              <w:rPr>
                <w:rFonts w:cs="Arial"/>
              </w:rPr>
            </w:pPr>
            <w:r w:rsidRPr="00BA5431">
              <w:rPr>
                <w:rFonts w:cs="Arial"/>
                <w:b/>
              </w:rPr>
              <w:t>Multiplicative</w:t>
            </w:r>
            <w:r w:rsidRPr="00BA5431">
              <w:rPr>
                <w:rFonts w:cs="Arial"/>
                <w:b/>
                <w:spacing w:val="-7"/>
              </w:rPr>
              <w:t xml:space="preserve"> </w:t>
            </w:r>
            <w:r w:rsidRPr="00BA5431">
              <w:rPr>
                <w:rFonts w:cs="Arial"/>
                <w:b/>
              </w:rPr>
              <w:t>factor</w:t>
            </w:r>
          </w:p>
        </w:tc>
      </w:tr>
      <w:tr w:rsidR="00E27BBB" w:rsidRPr="00BA5431" w:rsidTr="003C753C">
        <w:trPr>
          <w:trHeight w:hRule="exact" w:val="264"/>
          <w:jc w:val="center"/>
        </w:trPr>
        <w:tc>
          <w:tcPr>
            <w:tcW w:w="2938" w:type="dxa"/>
            <w:tcBorders>
              <w:top w:val="single" w:sz="4" w:space="0" w:color="000000"/>
              <w:left w:val="single" w:sz="4" w:space="0" w:color="000000"/>
              <w:bottom w:val="single" w:sz="4" w:space="0" w:color="000000"/>
              <w:right w:val="single" w:sz="4" w:space="0" w:color="000000"/>
            </w:tcBorders>
          </w:tcPr>
          <w:p w:rsidR="00E27BBB" w:rsidRPr="00BA5431" w:rsidRDefault="00E27BBB" w:rsidP="003C753C">
            <w:pPr>
              <w:pStyle w:val="TableParagraph"/>
              <w:spacing w:line="251" w:lineRule="exact"/>
              <w:jc w:val="center"/>
              <w:rPr>
                <w:rFonts w:cs="Arial"/>
              </w:rPr>
            </w:pPr>
            <w:r w:rsidRPr="00BA5431">
              <w:rPr>
                <w:rFonts w:cs="Arial"/>
              </w:rPr>
              <w:t>&gt;1000</w:t>
            </w:r>
          </w:p>
        </w:tc>
        <w:tc>
          <w:tcPr>
            <w:tcW w:w="2939" w:type="dxa"/>
            <w:tcBorders>
              <w:top w:val="single" w:sz="4" w:space="0" w:color="000000"/>
              <w:left w:val="single" w:sz="4" w:space="0" w:color="000000"/>
              <w:bottom w:val="single" w:sz="4" w:space="0" w:color="000000"/>
              <w:right w:val="single" w:sz="4" w:space="0" w:color="000000"/>
            </w:tcBorders>
          </w:tcPr>
          <w:p w:rsidR="00E27BBB" w:rsidRPr="00425D93" w:rsidRDefault="00E27BBB" w:rsidP="003C753C">
            <w:pPr>
              <w:pStyle w:val="TableParagraph"/>
              <w:spacing w:line="251" w:lineRule="exact"/>
              <w:jc w:val="center"/>
              <w:rPr>
                <w:rFonts w:cs="Arial"/>
              </w:rPr>
            </w:pPr>
            <w:r w:rsidRPr="00AA3790">
              <w:t>10</w:t>
            </w:r>
          </w:p>
        </w:tc>
      </w:tr>
      <w:tr w:rsidR="00E27BBB" w:rsidRPr="00BA5431" w:rsidTr="003C753C">
        <w:trPr>
          <w:trHeight w:hRule="exact" w:val="262"/>
          <w:jc w:val="center"/>
        </w:trPr>
        <w:tc>
          <w:tcPr>
            <w:tcW w:w="2938" w:type="dxa"/>
            <w:tcBorders>
              <w:top w:val="single" w:sz="4" w:space="0" w:color="000000"/>
              <w:left w:val="single" w:sz="4" w:space="0" w:color="000000"/>
              <w:bottom w:val="single" w:sz="4" w:space="0" w:color="000000"/>
              <w:right w:val="single" w:sz="4" w:space="0" w:color="000000"/>
            </w:tcBorders>
          </w:tcPr>
          <w:p w:rsidR="00E27BBB" w:rsidRPr="00BA5431" w:rsidRDefault="00E27BBB" w:rsidP="003C753C">
            <w:pPr>
              <w:pStyle w:val="TableParagraph"/>
              <w:spacing w:line="251" w:lineRule="exact"/>
              <w:ind w:left="938"/>
              <w:rPr>
                <w:rFonts w:cs="Arial"/>
              </w:rPr>
            </w:pPr>
            <w:r w:rsidRPr="00BA5431">
              <w:rPr>
                <w:rFonts w:cs="Arial"/>
              </w:rPr>
              <w:t>100 -</w:t>
            </w:r>
            <w:r w:rsidRPr="00BA5431">
              <w:rPr>
                <w:rFonts w:cs="Arial"/>
                <w:spacing w:val="-3"/>
              </w:rPr>
              <w:t xml:space="preserve"> </w:t>
            </w:r>
            <w:r w:rsidRPr="00BA5431">
              <w:rPr>
                <w:rFonts w:cs="Arial"/>
              </w:rPr>
              <w:t>1000</w:t>
            </w:r>
          </w:p>
        </w:tc>
        <w:tc>
          <w:tcPr>
            <w:tcW w:w="2939" w:type="dxa"/>
            <w:tcBorders>
              <w:top w:val="single" w:sz="4" w:space="0" w:color="000000"/>
              <w:left w:val="single" w:sz="4" w:space="0" w:color="000000"/>
              <w:bottom w:val="single" w:sz="4" w:space="0" w:color="000000"/>
              <w:right w:val="single" w:sz="4" w:space="0" w:color="000000"/>
            </w:tcBorders>
          </w:tcPr>
          <w:p w:rsidR="00E27BBB" w:rsidRPr="00425D93" w:rsidRDefault="00E27BBB" w:rsidP="003C753C">
            <w:pPr>
              <w:pStyle w:val="TableParagraph"/>
              <w:spacing w:line="251" w:lineRule="exact"/>
              <w:jc w:val="center"/>
              <w:rPr>
                <w:rFonts w:cs="Arial"/>
              </w:rPr>
            </w:pPr>
            <w:r w:rsidRPr="00AA3790">
              <w:t>7</w:t>
            </w:r>
          </w:p>
        </w:tc>
      </w:tr>
      <w:tr w:rsidR="00E27BBB" w:rsidRPr="00BA5431" w:rsidTr="003C753C">
        <w:trPr>
          <w:trHeight w:hRule="exact" w:val="264"/>
          <w:jc w:val="center"/>
        </w:trPr>
        <w:tc>
          <w:tcPr>
            <w:tcW w:w="2938" w:type="dxa"/>
            <w:tcBorders>
              <w:top w:val="single" w:sz="4" w:space="0" w:color="000000"/>
              <w:left w:val="single" w:sz="4" w:space="0" w:color="000000"/>
              <w:bottom w:val="single" w:sz="4" w:space="0" w:color="000000"/>
              <w:right w:val="single" w:sz="4" w:space="0" w:color="000000"/>
            </w:tcBorders>
          </w:tcPr>
          <w:p w:rsidR="00E27BBB" w:rsidRPr="00BA5431" w:rsidRDefault="00E27BBB" w:rsidP="003C753C">
            <w:pPr>
              <w:pStyle w:val="TableParagraph"/>
              <w:spacing w:line="251" w:lineRule="exact"/>
              <w:jc w:val="center"/>
              <w:rPr>
                <w:rFonts w:cs="Arial"/>
              </w:rPr>
            </w:pPr>
            <w:r w:rsidRPr="00BA5431">
              <w:rPr>
                <w:rFonts w:cs="Arial"/>
              </w:rPr>
              <w:t>10 –</w:t>
            </w:r>
            <w:r w:rsidRPr="00BA5431">
              <w:rPr>
                <w:rFonts w:cs="Arial"/>
                <w:spacing w:val="-1"/>
              </w:rPr>
              <w:t xml:space="preserve"> </w:t>
            </w:r>
            <w:r w:rsidRPr="00BA5431">
              <w:rPr>
                <w:rFonts w:cs="Arial"/>
              </w:rPr>
              <w:t>100</w:t>
            </w:r>
          </w:p>
        </w:tc>
        <w:tc>
          <w:tcPr>
            <w:tcW w:w="2939" w:type="dxa"/>
            <w:tcBorders>
              <w:top w:val="single" w:sz="4" w:space="0" w:color="000000"/>
              <w:left w:val="single" w:sz="4" w:space="0" w:color="000000"/>
              <w:bottom w:val="single" w:sz="4" w:space="0" w:color="000000"/>
              <w:right w:val="single" w:sz="4" w:space="0" w:color="000000"/>
            </w:tcBorders>
          </w:tcPr>
          <w:p w:rsidR="00E27BBB" w:rsidRPr="00425D93" w:rsidRDefault="00E27BBB" w:rsidP="003C753C">
            <w:pPr>
              <w:pStyle w:val="TableParagraph"/>
              <w:spacing w:line="251" w:lineRule="exact"/>
              <w:jc w:val="center"/>
              <w:rPr>
                <w:rFonts w:cs="Arial"/>
              </w:rPr>
            </w:pPr>
            <w:r w:rsidRPr="00AA3790">
              <w:t>3</w:t>
            </w:r>
          </w:p>
        </w:tc>
      </w:tr>
      <w:tr w:rsidR="00E27BBB" w:rsidRPr="00BA5431" w:rsidTr="003C753C">
        <w:trPr>
          <w:trHeight w:hRule="exact" w:val="262"/>
          <w:jc w:val="center"/>
        </w:trPr>
        <w:tc>
          <w:tcPr>
            <w:tcW w:w="2938" w:type="dxa"/>
            <w:tcBorders>
              <w:top w:val="single" w:sz="4" w:space="0" w:color="000000"/>
              <w:left w:val="single" w:sz="4" w:space="0" w:color="000000"/>
              <w:bottom w:val="single" w:sz="4" w:space="0" w:color="000000"/>
              <w:right w:val="single" w:sz="4" w:space="0" w:color="000000"/>
            </w:tcBorders>
          </w:tcPr>
          <w:p w:rsidR="00E27BBB" w:rsidRPr="00BA5431" w:rsidRDefault="00E27BBB" w:rsidP="003C753C">
            <w:pPr>
              <w:pStyle w:val="TableParagraph"/>
              <w:spacing w:line="251" w:lineRule="exact"/>
              <w:ind w:left="251"/>
              <w:rPr>
                <w:rFonts w:cs="Arial"/>
              </w:rPr>
            </w:pPr>
            <w:r w:rsidRPr="00BA5431">
              <w:rPr>
                <w:rFonts w:cs="Arial"/>
              </w:rPr>
              <w:t>1 – 10 and</w:t>
            </w:r>
            <w:r w:rsidRPr="00BA5431">
              <w:rPr>
                <w:rFonts w:cs="Arial"/>
                <w:spacing w:val="-6"/>
              </w:rPr>
              <w:t xml:space="preserve"> </w:t>
            </w:r>
            <w:r w:rsidRPr="00BA5431">
              <w:rPr>
                <w:rFonts w:cs="Arial"/>
              </w:rPr>
              <w:t>intermediates</w:t>
            </w:r>
          </w:p>
        </w:tc>
        <w:tc>
          <w:tcPr>
            <w:tcW w:w="2939" w:type="dxa"/>
            <w:tcBorders>
              <w:top w:val="single" w:sz="4" w:space="0" w:color="000000"/>
              <w:left w:val="single" w:sz="4" w:space="0" w:color="000000"/>
              <w:bottom w:val="single" w:sz="4" w:space="0" w:color="000000"/>
              <w:right w:val="single" w:sz="4" w:space="0" w:color="000000"/>
            </w:tcBorders>
          </w:tcPr>
          <w:p w:rsidR="00E27BBB" w:rsidRPr="00425D93" w:rsidRDefault="00E27BBB" w:rsidP="003C753C">
            <w:pPr>
              <w:pStyle w:val="TableParagraph"/>
              <w:spacing w:line="251" w:lineRule="exact"/>
              <w:jc w:val="center"/>
              <w:rPr>
                <w:rFonts w:cs="Arial"/>
              </w:rPr>
            </w:pPr>
            <w:r w:rsidRPr="00AA3790">
              <w:t>1</w:t>
            </w:r>
          </w:p>
        </w:tc>
      </w:tr>
    </w:tbl>
    <w:p w:rsidR="00E27BBB" w:rsidRPr="00BA5431" w:rsidRDefault="00E27BBB" w:rsidP="00E27BBB">
      <w:pPr>
        <w:ind w:left="1056"/>
        <w:rPr>
          <w:rFonts w:eastAsia="Arial"/>
        </w:rPr>
      </w:pPr>
    </w:p>
    <w:p w:rsidR="00E27BBB" w:rsidRPr="00135774" w:rsidRDefault="00E27BBB" w:rsidP="00E27BBB">
      <w:pPr>
        <w:pStyle w:val="Paragraph"/>
        <w:numPr>
          <w:ilvl w:val="0"/>
          <w:numId w:val="0"/>
        </w:numPr>
        <w:spacing w:after="0"/>
        <w:ind w:left="1056"/>
      </w:pPr>
      <w:r w:rsidRPr="00135774">
        <w:t xml:space="preserve">Any potential registrant can get a letter of access and a token to refer to the Lead Registration dossier for its co-registration as a </w:t>
      </w:r>
      <w:r>
        <w:t>m</w:t>
      </w:r>
      <w:r w:rsidRPr="00135774">
        <w:t xml:space="preserve">ember of a </w:t>
      </w:r>
      <w:r>
        <w:t>j</w:t>
      </w:r>
      <w:r w:rsidRPr="00135774">
        <w:t>oint submission under REACH after fulfilling its cost compensation requirements agreed upon.</w:t>
      </w:r>
    </w:p>
    <w:p w:rsidR="00E27BBB" w:rsidRPr="000F5C39" w:rsidRDefault="00E27BBB" w:rsidP="00E27BBB">
      <w:pPr>
        <w:autoSpaceDE w:val="0"/>
        <w:autoSpaceDN w:val="0"/>
        <w:adjustRightInd w:val="0"/>
        <w:rPr>
          <w:b/>
          <w:u w:val="single"/>
        </w:rPr>
      </w:pPr>
    </w:p>
    <w:p w:rsidR="00E27BBB" w:rsidRPr="000F5C39" w:rsidRDefault="00E27BBB" w:rsidP="00E27BBB">
      <w:pPr>
        <w:numPr>
          <w:ilvl w:val="0"/>
          <w:numId w:val="29"/>
        </w:numPr>
        <w:autoSpaceDE w:val="0"/>
        <w:autoSpaceDN w:val="0"/>
        <w:adjustRightInd w:val="0"/>
        <w:spacing w:after="0"/>
        <w:rPr>
          <w:b/>
          <w:u w:val="single"/>
        </w:rPr>
      </w:pPr>
      <w:r w:rsidRPr="000F5C39">
        <w:rPr>
          <w:b/>
          <w:u w:val="single"/>
        </w:rPr>
        <w:t>Cost for studies included in the Joint Registration Dossier</w:t>
      </w:r>
    </w:p>
    <w:p w:rsidR="00E27BBB" w:rsidRPr="000F5C39" w:rsidRDefault="00E27BBB" w:rsidP="00E27BBB">
      <w:pPr>
        <w:autoSpaceDE w:val="0"/>
        <w:autoSpaceDN w:val="0"/>
        <w:adjustRightInd w:val="0"/>
        <w:rPr>
          <w:u w:val="single"/>
        </w:rPr>
      </w:pPr>
    </w:p>
    <w:p w:rsidR="00E27BBB" w:rsidRPr="00AA3790" w:rsidRDefault="00E27BBB" w:rsidP="00E27BBB">
      <w:pPr>
        <w:numPr>
          <w:ilvl w:val="0"/>
          <w:numId w:val="31"/>
        </w:numPr>
        <w:autoSpaceDE w:val="0"/>
        <w:autoSpaceDN w:val="0"/>
        <w:adjustRightInd w:val="0"/>
        <w:spacing w:after="0"/>
        <w:ind w:left="1776"/>
        <w:rPr>
          <w:b/>
          <w:u w:val="single"/>
        </w:rPr>
      </w:pPr>
      <w:r w:rsidRPr="00AA3790">
        <w:rPr>
          <w:b/>
          <w:u w:val="single"/>
        </w:rPr>
        <w:t>Guiding Principle</w:t>
      </w:r>
    </w:p>
    <w:p w:rsidR="00E27BBB" w:rsidRDefault="00E27BBB" w:rsidP="00E27BBB">
      <w:pPr>
        <w:autoSpaceDE w:val="0"/>
        <w:autoSpaceDN w:val="0"/>
        <w:adjustRightInd w:val="0"/>
        <w:ind w:left="1056"/>
      </w:pPr>
      <w:r w:rsidRPr="000F5C39">
        <w:t>Study cost sharing as per ECHA Guidance on data-sharing</w:t>
      </w:r>
      <w:r>
        <w:t xml:space="preserve"> </w:t>
      </w:r>
      <w:r w:rsidRPr="000F5C39">
        <w:t>Version 3.1, January 2017</w:t>
      </w:r>
    </w:p>
    <w:p w:rsidR="00E27BBB" w:rsidRPr="000F5C39" w:rsidRDefault="00E27BBB" w:rsidP="00E27BBB">
      <w:pPr>
        <w:autoSpaceDE w:val="0"/>
        <w:autoSpaceDN w:val="0"/>
        <w:adjustRightInd w:val="0"/>
        <w:ind w:left="1056"/>
      </w:pPr>
    </w:p>
    <w:p w:rsidR="00E27BBB" w:rsidRDefault="00E27BBB" w:rsidP="00E27BBB">
      <w:pPr>
        <w:autoSpaceDE w:val="0"/>
        <w:autoSpaceDN w:val="0"/>
        <w:adjustRightInd w:val="0"/>
        <w:ind w:left="1056"/>
      </w:pPr>
      <w:r w:rsidRPr="000F5C39">
        <w:t xml:space="preserve">Cost sharing </w:t>
      </w:r>
      <w:r w:rsidRPr="004853B0">
        <w:t>on an ‘equal cost share’ basis</w:t>
      </w:r>
      <w:r w:rsidRPr="000F5C39">
        <w:t xml:space="preserve"> for all Lead Members (including the Lead Registrant) / Non-Lead Members </w:t>
      </w:r>
      <w:r>
        <w:t>requiring a given study after applying the correction factors listed below:</w:t>
      </w:r>
    </w:p>
    <w:p w:rsidR="00E27BBB" w:rsidRPr="009025ED" w:rsidRDefault="00E27BBB" w:rsidP="00E27BBB">
      <w:pPr>
        <w:pStyle w:val="ListParagraph"/>
        <w:widowControl w:val="0"/>
        <w:numPr>
          <w:ilvl w:val="0"/>
          <w:numId w:val="32"/>
        </w:numPr>
        <w:tabs>
          <w:tab w:val="left" w:pos="822"/>
        </w:tabs>
        <w:spacing w:after="0" w:line="252" w:lineRule="exact"/>
        <w:contextualSpacing w:val="0"/>
      </w:pPr>
      <w:r w:rsidRPr="009025ED">
        <w:t>A surcharge of 30% as Risk Premium for studies listed in Annex VII - X of the REACH regulation.</w:t>
      </w:r>
    </w:p>
    <w:p w:rsidR="00E27BBB" w:rsidRPr="00AA3790" w:rsidRDefault="00E27BBB" w:rsidP="00E27BBB">
      <w:pPr>
        <w:pStyle w:val="ListParagraph"/>
        <w:widowControl w:val="0"/>
        <w:numPr>
          <w:ilvl w:val="0"/>
          <w:numId w:val="32"/>
        </w:numPr>
        <w:tabs>
          <w:tab w:val="left" w:pos="822"/>
        </w:tabs>
        <w:spacing w:after="0" w:line="252" w:lineRule="exact"/>
        <w:contextualSpacing w:val="0"/>
      </w:pPr>
      <w:r w:rsidRPr="00AA3790">
        <w:t>A surcharge to the total value of experimental costs (substance testing and analysis) is charged for administrative expenses (processing, monitoring and professional support by the commissioning party, travel expenses, archival of the test substance and raw data). The surcharge depends on the experimental value of the study (table 1).</w:t>
      </w:r>
    </w:p>
    <w:p w:rsidR="00E27BBB" w:rsidRPr="00AA3790" w:rsidRDefault="00E27BBB" w:rsidP="00E27BBB">
      <w:pPr>
        <w:pStyle w:val="ListParagraph"/>
        <w:widowControl w:val="0"/>
        <w:numPr>
          <w:ilvl w:val="0"/>
          <w:numId w:val="32"/>
        </w:numPr>
        <w:tabs>
          <w:tab w:val="left" w:pos="825"/>
        </w:tabs>
        <w:spacing w:after="0" w:line="252" w:lineRule="exact"/>
        <w:contextualSpacing w:val="0"/>
      </w:pPr>
      <w:r w:rsidRPr="00AA3790">
        <w:t xml:space="preserve">Robust summaries contributed by the supplier or developed by experts commissioned by the Technical Committee should be compensated either based on the real costs incurred or by a surcharge of </w:t>
      </w:r>
      <w:r w:rsidRPr="00063B87">
        <w:t>30</w:t>
      </w:r>
      <w:r w:rsidRPr="00AA3790">
        <w:t>% of the value of the admin costs according to the table 1.</w:t>
      </w:r>
    </w:p>
    <w:p w:rsidR="00E27BBB" w:rsidRPr="00AA3790" w:rsidRDefault="00E27BBB" w:rsidP="00B25C1A">
      <w:pPr>
        <w:widowControl w:val="0"/>
        <w:tabs>
          <w:tab w:val="left" w:pos="825"/>
        </w:tabs>
        <w:ind w:right="112"/>
      </w:pPr>
    </w:p>
    <w:p w:rsidR="00E27BBB" w:rsidRDefault="00E27BBB" w:rsidP="00E27BBB">
      <w:pPr>
        <w:ind w:left="1172"/>
      </w:pPr>
      <w:r w:rsidRPr="00AA3790">
        <w:t>Table 1. Surcharge to the total study value of administrative expenses.</w:t>
      </w:r>
    </w:p>
    <w:p w:rsidR="00E27BBB" w:rsidRPr="00AA3790" w:rsidRDefault="00E27BBB" w:rsidP="00E27BBB">
      <w:pPr>
        <w:ind w:left="1172"/>
      </w:pPr>
    </w:p>
    <w:tbl>
      <w:tblPr>
        <w:tblW w:w="7202" w:type="dxa"/>
        <w:tblInd w:w="2096" w:type="dxa"/>
        <w:tblLayout w:type="fixed"/>
        <w:tblCellMar>
          <w:left w:w="0" w:type="dxa"/>
          <w:right w:w="0" w:type="dxa"/>
        </w:tblCellMar>
        <w:tblLook w:val="01E0" w:firstRow="1" w:lastRow="1" w:firstColumn="1" w:lastColumn="1" w:noHBand="0" w:noVBand="0"/>
      </w:tblPr>
      <w:tblGrid>
        <w:gridCol w:w="1801"/>
        <w:gridCol w:w="2700"/>
        <w:gridCol w:w="2701"/>
      </w:tblGrid>
      <w:tr w:rsidR="00E27BBB" w:rsidRPr="00BA5431" w:rsidTr="003C753C">
        <w:trPr>
          <w:trHeight w:hRule="exact" w:val="343"/>
        </w:trPr>
        <w:tc>
          <w:tcPr>
            <w:tcW w:w="1801" w:type="dxa"/>
            <w:tcBorders>
              <w:top w:val="single" w:sz="12" w:space="0" w:color="000000"/>
              <w:left w:val="single" w:sz="12" w:space="0" w:color="000000"/>
              <w:bottom w:val="single" w:sz="4" w:space="0" w:color="000000"/>
              <w:right w:val="single" w:sz="12" w:space="0" w:color="000000"/>
            </w:tcBorders>
          </w:tcPr>
          <w:p w:rsidR="00E27BBB" w:rsidRPr="00BA5431" w:rsidRDefault="00E27BBB" w:rsidP="003C753C"/>
        </w:tc>
        <w:tc>
          <w:tcPr>
            <w:tcW w:w="5401" w:type="dxa"/>
            <w:gridSpan w:val="2"/>
            <w:tcBorders>
              <w:top w:val="single" w:sz="12" w:space="0" w:color="000000"/>
              <w:left w:val="single" w:sz="12" w:space="0" w:color="000000"/>
              <w:bottom w:val="single" w:sz="4" w:space="0" w:color="000000"/>
              <w:right w:val="single" w:sz="12" w:space="0" w:color="000000"/>
            </w:tcBorders>
          </w:tcPr>
          <w:p w:rsidR="00E27BBB" w:rsidRPr="00BA5431" w:rsidRDefault="00E27BBB" w:rsidP="003C753C">
            <w:pPr>
              <w:pStyle w:val="TableParagraph"/>
              <w:spacing w:line="227" w:lineRule="exact"/>
              <w:jc w:val="center"/>
              <w:rPr>
                <w:rFonts w:cs="Arial"/>
              </w:rPr>
            </w:pPr>
            <w:r w:rsidRPr="00BA5431">
              <w:rPr>
                <w:rFonts w:cs="Arial"/>
              </w:rPr>
              <w:t>Correction</w:t>
            </w:r>
            <w:r w:rsidRPr="00BA5431">
              <w:rPr>
                <w:rFonts w:cs="Arial"/>
                <w:spacing w:val="-6"/>
              </w:rPr>
              <w:t xml:space="preserve"> </w:t>
            </w:r>
            <w:r w:rsidRPr="00BA5431">
              <w:rPr>
                <w:rFonts w:cs="Arial"/>
              </w:rPr>
              <w:t>factor</w:t>
            </w:r>
          </w:p>
        </w:tc>
      </w:tr>
      <w:tr w:rsidR="00E27BBB" w:rsidRPr="00BA5431" w:rsidTr="003C753C">
        <w:trPr>
          <w:trHeight w:hRule="exact" w:val="346"/>
        </w:trPr>
        <w:tc>
          <w:tcPr>
            <w:tcW w:w="1801" w:type="dxa"/>
            <w:tcBorders>
              <w:top w:val="single" w:sz="4" w:space="0" w:color="000000"/>
              <w:left w:val="single" w:sz="12" w:space="0" w:color="000000"/>
              <w:bottom w:val="single" w:sz="12" w:space="0" w:color="000000"/>
              <w:right w:val="single" w:sz="12" w:space="0" w:color="000000"/>
            </w:tcBorders>
          </w:tcPr>
          <w:p w:rsidR="00E27BBB" w:rsidRPr="00BA5431" w:rsidRDefault="00E27BBB" w:rsidP="003C753C">
            <w:pPr>
              <w:pStyle w:val="TableParagraph"/>
              <w:spacing w:line="230" w:lineRule="exact"/>
              <w:ind w:left="211"/>
              <w:rPr>
                <w:rFonts w:cs="Arial"/>
              </w:rPr>
            </w:pPr>
            <w:r w:rsidRPr="00BA5431">
              <w:rPr>
                <w:rFonts w:cs="Arial"/>
              </w:rPr>
              <w:t>Study value</w:t>
            </w:r>
            <w:r w:rsidRPr="00BA5431">
              <w:rPr>
                <w:rFonts w:cs="Arial"/>
                <w:spacing w:val="-6"/>
              </w:rPr>
              <w:t xml:space="preserve"> </w:t>
            </w:r>
            <w:r w:rsidRPr="00BA5431">
              <w:rPr>
                <w:rFonts w:cs="Arial"/>
              </w:rPr>
              <w:t>(€)</w:t>
            </w:r>
          </w:p>
        </w:tc>
        <w:tc>
          <w:tcPr>
            <w:tcW w:w="2700" w:type="dxa"/>
            <w:tcBorders>
              <w:top w:val="single" w:sz="4" w:space="0" w:color="000000"/>
              <w:left w:val="single" w:sz="12" w:space="0" w:color="000000"/>
              <w:bottom w:val="single" w:sz="12" w:space="0" w:color="000000"/>
              <w:right w:val="single" w:sz="4" w:space="0" w:color="000000"/>
            </w:tcBorders>
          </w:tcPr>
          <w:p w:rsidR="00E27BBB" w:rsidRPr="00BA5431" w:rsidRDefault="00E27BBB" w:rsidP="003C753C">
            <w:pPr>
              <w:pStyle w:val="TableParagraph"/>
              <w:spacing w:line="230" w:lineRule="exact"/>
              <w:ind w:left="551"/>
              <w:rPr>
                <w:rFonts w:cs="Arial"/>
              </w:rPr>
            </w:pPr>
            <w:r w:rsidRPr="00BA5431">
              <w:rPr>
                <w:rFonts w:cs="Arial"/>
              </w:rPr>
              <w:t>Administration</w:t>
            </w:r>
            <w:r w:rsidRPr="00BA5431">
              <w:rPr>
                <w:rFonts w:cs="Arial"/>
                <w:spacing w:val="-6"/>
              </w:rPr>
              <w:t xml:space="preserve"> </w:t>
            </w:r>
            <w:r w:rsidRPr="00BA5431">
              <w:rPr>
                <w:rFonts w:cs="Arial"/>
              </w:rPr>
              <w:t>(€)</w:t>
            </w:r>
          </w:p>
        </w:tc>
        <w:tc>
          <w:tcPr>
            <w:tcW w:w="2701" w:type="dxa"/>
            <w:tcBorders>
              <w:top w:val="single" w:sz="4" w:space="0" w:color="000000"/>
              <w:left w:val="single" w:sz="4" w:space="0" w:color="000000"/>
              <w:bottom w:val="single" w:sz="12" w:space="0" w:color="000000"/>
              <w:right w:val="single" w:sz="12" w:space="0" w:color="000000"/>
            </w:tcBorders>
          </w:tcPr>
          <w:p w:rsidR="00E27BBB" w:rsidRPr="00BA5431" w:rsidRDefault="00E27BBB" w:rsidP="003C753C">
            <w:pPr>
              <w:pStyle w:val="TableParagraph"/>
              <w:spacing w:line="230" w:lineRule="exact"/>
              <w:ind w:left="527"/>
              <w:rPr>
                <w:rFonts w:cs="Arial"/>
              </w:rPr>
            </w:pPr>
            <w:r w:rsidRPr="00BA5431">
              <w:rPr>
                <w:rFonts w:cs="Arial"/>
              </w:rPr>
              <w:t>Administration</w:t>
            </w:r>
            <w:r w:rsidRPr="00BA5431">
              <w:rPr>
                <w:rFonts w:cs="Arial"/>
                <w:spacing w:val="-8"/>
              </w:rPr>
              <w:t xml:space="preserve"> </w:t>
            </w:r>
            <w:r w:rsidRPr="00BA5431">
              <w:rPr>
                <w:rFonts w:cs="Arial"/>
              </w:rPr>
              <w:t>(%)</w:t>
            </w:r>
          </w:p>
        </w:tc>
      </w:tr>
      <w:tr w:rsidR="00E27BBB" w:rsidRPr="00BA5431" w:rsidTr="003C753C">
        <w:trPr>
          <w:trHeight w:hRule="exact" w:val="344"/>
        </w:trPr>
        <w:tc>
          <w:tcPr>
            <w:tcW w:w="1801" w:type="dxa"/>
            <w:tcBorders>
              <w:top w:val="single" w:sz="12" w:space="0" w:color="000000"/>
              <w:left w:val="single" w:sz="12" w:space="0" w:color="000000"/>
              <w:bottom w:val="single" w:sz="4" w:space="0" w:color="000000"/>
              <w:right w:val="single" w:sz="12" w:space="0" w:color="000000"/>
            </w:tcBorders>
          </w:tcPr>
          <w:p w:rsidR="00E27BBB" w:rsidRPr="005063D0" w:rsidRDefault="00E27BBB" w:rsidP="003C753C">
            <w:pPr>
              <w:pStyle w:val="TableParagraph"/>
              <w:spacing w:line="228" w:lineRule="exact"/>
              <w:ind w:right="3"/>
              <w:jc w:val="center"/>
              <w:rPr>
                <w:rFonts w:cs="Arial"/>
              </w:rPr>
            </w:pPr>
            <w:r w:rsidRPr="005063D0">
              <w:t>3,000.00</w:t>
            </w:r>
          </w:p>
        </w:tc>
        <w:tc>
          <w:tcPr>
            <w:tcW w:w="2700" w:type="dxa"/>
            <w:tcBorders>
              <w:top w:val="single" w:sz="12" w:space="0" w:color="000000"/>
              <w:left w:val="single" w:sz="12" w:space="0" w:color="000000"/>
              <w:bottom w:val="single" w:sz="4" w:space="0" w:color="000000"/>
              <w:right w:val="single" w:sz="4" w:space="0" w:color="000000"/>
            </w:tcBorders>
          </w:tcPr>
          <w:p w:rsidR="00E27BBB" w:rsidRPr="005063D0" w:rsidRDefault="00E27BBB" w:rsidP="003C753C">
            <w:pPr>
              <w:pStyle w:val="TableParagraph"/>
              <w:spacing w:line="228" w:lineRule="exact"/>
              <w:ind w:right="10"/>
              <w:jc w:val="center"/>
              <w:rPr>
                <w:rFonts w:cs="Arial"/>
              </w:rPr>
            </w:pPr>
            <w:r w:rsidRPr="005063D0">
              <w:t>750.00</w:t>
            </w:r>
          </w:p>
        </w:tc>
        <w:tc>
          <w:tcPr>
            <w:tcW w:w="2701" w:type="dxa"/>
            <w:tcBorders>
              <w:top w:val="single" w:sz="12" w:space="0" w:color="000000"/>
              <w:left w:val="single" w:sz="4" w:space="0" w:color="000000"/>
              <w:bottom w:val="single" w:sz="4" w:space="0" w:color="000000"/>
              <w:right w:val="single" w:sz="12" w:space="0" w:color="000000"/>
            </w:tcBorders>
          </w:tcPr>
          <w:p w:rsidR="00E27BBB" w:rsidRPr="005063D0" w:rsidRDefault="00E27BBB" w:rsidP="003C753C">
            <w:pPr>
              <w:pStyle w:val="TableParagraph"/>
              <w:spacing w:line="228" w:lineRule="exact"/>
              <w:ind w:left="4"/>
              <w:jc w:val="center"/>
              <w:rPr>
                <w:rFonts w:cs="Arial"/>
              </w:rPr>
            </w:pPr>
            <w:r w:rsidRPr="005063D0">
              <w:t>25%</w:t>
            </w:r>
          </w:p>
        </w:tc>
      </w:tr>
      <w:tr w:rsidR="00E27BBB" w:rsidRPr="00BA5431" w:rsidTr="003C753C">
        <w:trPr>
          <w:trHeight w:hRule="exact" w:val="334"/>
        </w:trPr>
        <w:tc>
          <w:tcPr>
            <w:tcW w:w="1801" w:type="dxa"/>
            <w:tcBorders>
              <w:top w:val="single" w:sz="4" w:space="0" w:color="000000"/>
              <w:left w:val="single" w:sz="12" w:space="0" w:color="000000"/>
              <w:bottom w:val="single" w:sz="4" w:space="0" w:color="000000"/>
              <w:right w:val="single" w:sz="12" w:space="0" w:color="000000"/>
            </w:tcBorders>
          </w:tcPr>
          <w:p w:rsidR="00E27BBB" w:rsidRPr="005063D0" w:rsidRDefault="00E27BBB" w:rsidP="003C753C">
            <w:pPr>
              <w:pStyle w:val="TableParagraph"/>
              <w:spacing w:line="227" w:lineRule="exact"/>
              <w:ind w:right="3"/>
              <w:jc w:val="center"/>
              <w:rPr>
                <w:rFonts w:cs="Arial"/>
              </w:rPr>
            </w:pPr>
            <w:r w:rsidRPr="005063D0">
              <w:t>5,000.00</w:t>
            </w:r>
          </w:p>
        </w:tc>
        <w:tc>
          <w:tcPr>
            <w:tcW w:w="2700" w:type="dxa"/>
            <w:tcBorders>
              <w:top w:val="single" w:sz="4" w:space="0" w:color="000000"/>
              <w:left w:val="single" w:sz="12" w:space="0" w:color="000000"/>
              <w:bottom w:val="single" w:sz="4" w:space="0" w:color="000000"/>
              <w:right w:val="single" w:sz="4" w:space="0" w:color="000000"/>
            </w:tcBorders>
          </w:tcPr>
          <w:p w:rsidR="00E27BBB" w:rsidRPr="005063D0" w:rsidRDefault="00E27BBB" w:rsidP="003C753C">
            <w:pPr>
              <w:pStyle w:val="TableParagraph"/>
              <w:spacing w:line="227" w:lineRule="exact"/>
              <w:ind w:right="10"/>
              <w:jc w:val="center"/>
              <w:rPr>
                <w:rFonts w:cs="Arial"/>
              </w:rPr>
            </w:pPr>
            <w:r w:rsidRPr="005063D0">
              <w:t>1,000.00</w:t>
            </w:r>
          </w:p>
        </w:tc>
        <w:tc>
          <w:tcPr>
            <w:tcW w:w="2701" w:type="dxa"/>
            <w:tcBorders>
              <w:top w:val="single" w:sz="4" w:space="0" w:color="000000"/>
              <w:left w:val="single" w:sz="4" w:space="0" w:color="000000"/>
              <w:bottom w:val="single" w:sz="4" w:space="0" w:color="000000"/>
              <w:right w:val="single" w:sz="12" w:space="0" w:color="000000"/>
            </w:tcBorders>
          </w:tcPr>
          <w:p w:rsidR="00E27BBB" w:rsidRPr="005063D0" w:rsidRDefault="00E27BBB" w:rsidP="003C753C">
            <w:pPr>
              <w:pStyle w:val="TableParagraph"/>
              <w:spacing w:line="227" w:lineRule="exact"/>
              <w:ind w:left="4"/>
              <w:jc w:val="center"/>
              <w:rPr>
                <w:rFonts w:cs="Arial"/>
              </w:rPr>
            </w:pPr>
            <w:r w:rsidRPr="005063D0">
              <w:t>20%</w:t>
            </w:r>
          </w:p>
        </w:tc>
      </w:tr>
      <w:tr w:rsidR="00E27BBB" w:rsidRPr="00BA5431" w:rsidTr="003C753C">
        <w:trPr>
          <w:trHeight w:hRule="exact" w:val="334"/>
        </w:trPr>
        <w:tc>
          <w:tcPr>
            <w:tcW w:w="1801" w:type="dxa"/>
            <w:tcBorders>
              <w:top w:val="single" w:sz="4" w:space="0" w:color="000000"/>
              <w:left w:val="single" w:sz="12" w:space="0" w:color="000000"/>
              <w:bottom w:val="single" w:sz="4" w:space="0" w:color="000000"/>
              <w:right w:val="single" w:sz="12" w:space="0" w:color="000000"/>
            </w:tcBorders>
          </w:tcPr>
          <w:p w:rsidR="00E27BBB" w:rsidRPr="005063D0" w:rsidRDefault="00E27BBB" w:rsidP="003C753C">
            <w:pPr>
              <w:pStyle w:val="TableParagraph"/>
              <w:spacing w:line="227" w:lineRule="exact"/>
              <w:ind w:right="1"/>
              <w:jc w:val="center"/>
              <w:rPr>
                <w:rFonts w:cs="Arial"/>
              </w:rPr>
            </w:pPr>
            <w:r w:rsidRPr="005063D0">
              <w:t>20,000.00</w:t>
            </w:r>
          </w:p>
        </w:tc>
        <w:tc>
          <w:tcPr>
            <w:tcW w:w="2700" w:type="dxa"/>
            <w:tcBorders>
              <w:top w:val="single" w:sz="4" w:space="0" w:color="000000"/>
              <w:left w:val="single" w:sz="12" w:space="0" w:color="000000"/>
              <w:bottom w:val="single" w:sz="4" w:space="0" w:color="000000"/>
              <w:right w:val="single" w:sz="4" w:space="0" w:color="000000"/>
            </w:tcBorders>
          </w:tcPr>
          <w:p w:rsidR="00E27BBB" w:rsidRPr="005063D0" w:rsidRDefault="00E27BBB" w:rsidP="003C753C">
            <w:pPr>
              <w:pStyle w:val="TableParagraph"/>
              <w:spacing w:line="227" w:lineRule="exact"/>
              <w:ind w:right="10"/>
              <w:jc w:val="center"/>
              <w:rPr>
                <w:rFonts w:cs="Arial"/>
              </w:rPr>
            </w:pPr>
            <w:r w:rsidRPr="005063D0">
              <w:t>3,000.00</w:t>
            </w:r>
          </w:p>
        </w:tc>
        <w:tc>
          <w:tcPr>
            <w:tcW w:w="2701" w:type="dxa"/>
            <w:tcBorders>
              <w:top w:val="single" w:sz="4" w:space="0" w:color="000000"/>
              <w:left w:val="single" w:sz="4" w:space="0" w:color="000000"/>
              <w:bottom w:val="single" w:sz="4" w:space="0" w:color="000000"/>
              <w:right w:val="single" w:sz="12" w:space="0" w:color="000000"/>
            </w:tcBorders>
          </w:tcPr>
          <w:p w:rsidR="00E27BBB" w:rsidRPr="005063D0" w:rsidRDefault="00E27BBB" w:rsidP="003C753C">
            <w:pPr>
              <w:pStyle w:val="TableParagraph"/>
              <w:spacing w:line="227" w:lineRule="exact"/>
              <w:ind w:left="4"/>
              <w:jc w:val="center"/>
              <w:rPr>
                <w:rFonts w:cs="Arial"/>
              </w:rPr>
            </w:pPr>
            <w:r w:rsidRPr="005063D0">
              <w:t>15%</w:t>
            </w:r>
          </w:p>
        </w:tc>
      </w:tr>
      <w:tr w:rsidR="00E27BBB" w:rsidRPr="00BA5431" w:rsidTr="003C753C">
        <w:trPr>
          <w:trHeight w:hRule="exact" w:val="336"/>
        </w:trPr>
        <w:tc>
          <w:tcPr>
            <w:tcW w:w="1801" w:type="dxa"/>
            <w:tcBorders>
              <w:top w:val="single" w:sz="4" w:space="0" w:color="000000"/>
              <w:left w:val="single" w:sz="12" w:space="0" w:color="000000"/>
              <w:bottom w:val="single" w:sz="4" w:space="0" w:color="000000"/>
              <w:right w:val="single" w:sz="12" w:space="0" w:color="000000"/>
            </w:tcBorders>
          </w:tcPr>
          <w:p w:rsidR="00E27BBB" w:rsidRPr="005063D0" w:rsidRDefault="00E27BBB" w:rsidP="003C753C">
            <w:pPr>
              <w:pStyle w:val="TableParagraph"/>
              <w:spacing w:line="230" w:lineRule="exact"/>
              <w:ind w:right="1"/>
              <w:jc w:val="center"/>
              <w:rPr>
                <w:rFonts w:cs="Arial"/>
              </w:rPr>
            </w:pPr>
            <w:r w:rsidRPr="005063D0">
              <w:t>50,000.00</w:t>
            </w:r>
          </w:p>
        </w:tc>
        <w:tc>
          <w:tcPr>
            <w:tcW w:w="2700" w:type="dxa"/>
            <w:tcBorders>
              <w:top w:val="single" w:sz="4" w:space="0" w:color="000000"/>
              <w:left w:val="single" w:sz="12" w:space="0" w:color="000000"/>
              <w:bottom w:val="single" w:sz="4" w:space="0" w:color="000000"/>
              <w:right w:val="single" w:sz="4" w:space="0" w:color="000000"/>
            </w:tcBorders>
          </w:tcPr>
          <w:p w:rsidR="00E27BBB" w:rsidRPr="005063D0" w:rsidRDefault="00E27BBB" w:rsidP="003C753C">
            <w:pPr>
              <w:pStyle w:val="TableParagraph"/>
              <w:spacing w:line="230" w:lineRule="exact"/>
              <w:ind w:right="10"/>
              <w:jc w:val="center"/>
              <w:rPr>
                <w:rFonts w:cs="Arial"/>
              </w:rPr>
            </w:pPr>
            <w:r w:rsidRPr="005063D0">
              <w:t>5,000.00</w:t>
            </w:r>
          </w:p>
        </w:tc>
        <w:tc>
          <w:tcPr>
            <w:tcW w:w="2701" w:type="dxa"/>
            <w:tcBorders>
              <w:top w:val="single" w:sz="4" w:space="0" w:color="000000"/>
              <w:left w:val="single" w:sz="4" w:space="0" w:color="000000"/>
              <w:bottom w:val="single" w:sz="4" w:space="0" w:color="000000"/>
              <w:right w:val="single" w:sz="12" w:space="0" w:color="000000"/>
            </w:tcBorders>
          </w:tcPr>
          <w:p w:rsidR="00E27BBB" w:rsidRPr="005063D0" w:rsidRDefault="00E27BBB" w:rsidP="003C753C">
            <w:pPr>
              <w:pStyle w:val="TableParagraph"/>
              <w:spacing w:line="230" w:lineRule="exact"/>
              <w:ind w:left="4"/>
              <w:jc w:val="center"/>
              <w:rPr>
                <w:rFonts w:cs="Arial"/>
              </w:rPr>
            </w:pPr>
            <w:r w:rsidRPr="005063D0">
              <w:t>10%</w:t>
            </w:r>
          </w:p>
        </w:tc>
      </w:tr>
      <w:tr w:rsidR="00E27BBB" w:rsidRPr="00BA5431" w:rsidTr="003C753C">
        <w:trPr>
          <w:trHeight w:hRule="exact" w:val="334"/>
        </w:trPr>
        <w:tc>
          <w:tcPr>
            <w:tcW w:w="1801" w:type="dxa"/>
            <w:tcBorders>
              <w:top w:val="single" w:sz="4" w:space="0" w:color="000000"/>
              <w:left w:val="single" w:sz="12" w:space="0" w:color="000000"/>
              <w:bottom w:val="single" w:sz="4" w:space="0" w:color="000000"/>
              <w:right w:val="single" w:sz="12" w:space="0" w:color="000000"/>
            </w:tcBorders>
          </w:tcPr>
          <w:p w:rsidR="00E27BBB" w:rsidRPr="005063D0" w:rsidRDefault="00E27BBB" w:rsidP="003C753C">
            <w:pPr>
              <w:pStyle w:val="TableParagraph"/>
              <w:spacing w:line="230" w:lineRule="exact"/>
              <w:ind w:right="1"/>
              <w:jc w:val="center"/>
            </w:pPr>
            <w:r w:rsidRPr="005063D0">
              <w:t>100,000.00</w:t>
            </w:r>
          </w:p>
        </w:tc>
        <w:tc>
          <w:tcPr>
            <w:tcW w:w="2700" w:type="dxa"/>
            <w:tcBorders>
              <w:top w:val="single" w:sz="4" w:space="0" w:color="000000"/>
              <w:left w:val="single" w:sz="12" w:space="0" w:color="000000"/>
              <w:bottom w:val="single" w:sz="4" w:space="0" w:color="000000"/>
              <w:right w:val="single" w:sz="4" w:space="0" w:color="000000"/>
            </w:tcBorders>
          </w:tcPr>
          <w:p w:rsidR="00E27BBB" w:rsidRPr="005063D0" w:rsidRDefault="00E27BBB" w:rsidP="003C753C">
            <w:pPr>
              <w:pStyle w:val="TableParagraph"/>
              <w:spacing w:line="227" w:lineRule="exact"/>
              <w:ind w:right="10"/>
              <w:jc w:val="center"/>
              <w:rPr>
                <w:rFonts w:cs="Arial"/>
              </w:rPr>
            </w:pPr>
            <w:r w:rsidRPr="005063D0">
              <w:t>7,000.00</w:t>
            </w:r>
          </w:p>
        </w:tc>
        <w:tc>
          <w:tcPr>
            <w:tcW w:w="2701" w:type="dxa"/>
            <w:tcBorders>
              <w:top w:val="single" w:sz="4" w:space="0" w:color="000000"/>
              <w:left w:val="single" w:sz="4" w:space="0" w:color="000000"/>
              <w:bottom w:val="single" w:sz="4" w:space="0" w:color="000000"/>
              <w:right w:val="single" w:sz="12" w:space="0" w:color="000000"/>
            </w:tcBorders>
          </w:tcPr>
          <w:p w:rsidR="00E27BBB" w:rsidRPr="005063D0" w:rsidRDefault="00E27BBB" w:rsidP="003C753C">
            <w:pPr>
              <w:pStyle w:val="TableParagraph"/>
              <w:spacing w:line="227" w:lineRule="exact"/>
              <w:ind w:left="4"/>
              <w:jc w:val="center"/>
              <w:rPr>
                <w:rFonts w:cs="Arial"/>
              </w:rPr>
            </w:pPr>
            <w:r w:rsidRPr="005063D0">
              <w:t>7%</w:t>
            </w:r>
          </w:p>
        </w:tc>
      </w:tr>
      <w:tr w:rsidR="00E27BBB" w:rsidRPr="00BA5431" w:rsidTr="003C753C">
        <w:trPr>
          <w:trHeight w:hRule="exact" w:val="334"/>
        </w:trPr>
        <w:tc>
          <w:tcPr>
            <w:tcW w:w="1801" w:type="dxa"/>
            <w:tcBorders>
              <w:top w:val="single" w:sz="4" w:space="0" w:color="000000"/>
              <w:left w:val="single" w:sz="12" w:space="0" w:color="000000"/>
              <w:bottom w:val="single" w:sz="4" w:space="0" w:color="000000"/>
              <w:right w:val="single" w:sz="12" w:space="0" w:color="000000"/>
            </w:tcBorders>
          </w:tcPr>
          <w:p w:rsidR="00E27BBB" w:rsidRPr="005063D0" w:rsidRDefault="00E27BBB" w:rsidP="003C753C">
            <w:pPr>
              <w:pStyle w:val="TableParagraph"/>
              <w:spacing w:line="230" w:lineRule="exact"/>
              <w:ind w:right="1"/>
              <w:jc w:val="center"/>
            </w:pPr>
            <w:r w:rsidRPr="005063D0">
              <w:t>200,000.00</w:t>
            </w:r>
          </w:p>
        </w:tc>
        <w:tc>
          <w:tcPr>
            <w:tcW w:w="2700" w:type="dxa"/>
            <w:tcBorders>
              <w:top w:val="single" w:sz="4" w:space="0" w:color="000000"/>
              <w:left w:val="single" w:sz="12" w:space="0" w:color="000000"/>
              <w:bottom w:val="single" w:sz="4" w:space="0" w:color="000000"/>
              <w:right w:val="single" w:sz="4" w:space="0" w:color="000000"/>
            </w:tcBorders>
          </w:tcPr>
          <w:p w:rsidR="00E27BBB" w:rsidRPr="005063D0" w:rsidRDefault="00E27BBB" w:rsidP="003C753C">
            <w:pPr>
              <w:pStyle w:val="TableParagraph"/>
              <w:spacing w:line="227" w:lineRule="exact"/>
              <w:ind w:right="12"/>
              <w:jc w:val="center"/>
              <w:rPr>
                <w:rFonts w:cs="Arial"/>
              </w:rPr>
            </w:pPr>
            <w:r w:rsidRPr="005063D0">
              <w:t>10,000.00</w:t>
            </w:r>
          </w:p>
        </w:tc>
        <w:tc>
          <w:tcPr>
            <w:tcW w:w="2701" w:type="dxa"/>
            <w:tcBorders>
              <w:top w:val="single" w:sz="4" w:space="0" w:color="000000"/>
              <w:left w:val="single" w:sz="4" w:space="0" w:color="000000"/>
              <w:bottom w:val="single" w:sz="4" w:space="0" w:color="000000"/>
              <w:right w:val="single" w:sz="12" w:space="0" w:color="000000"/>
            </w:tcBorders>
          </w:tcPr>
          <w:p w:rsidR="00E27BBB" w:rsidRPr="005063D0" w:rsidRDefault="00E27BBB" w:rsidP="003C753C">
            <w:pPr>
              <w:pStyle w:val="TableParagraph"/>
              <w:spacing w:line="227" w:lineRule="exact"/>
              <w:ind w:left="4"/>
              <w:jc w:val="center"/>
              <w:rPr>
                <w:rFonts w:cs="Arial"/>
              </w:rPr>
            </w:pPr>
            <w:r w:rsidRPr="005063D0">
              <w:t>5%</w:t>
            </w:r>
          </w:p>
        </w:tc>
      </w:tr>
      <w:tr w:rsidR="00E27BBB" w:rsidRPr="00BA5431" w:rsidTr="003C753C">
        <w:trPr>
          <w:trHeight w:hRule="exact" w:val="346"/>
        </w:trPr>
        <w:tc>
          <w:tcPr>
            <w:tcW w:w="1801" w:type="dxa"/>
            <w:tcBorders>
              <w:top w:val="single" w:sz="4" w:space="0" w:color="000000"/>
              <w:left w:val="single" w:sz="12" w:space="0" w:color="000000"/>
              <w:bottom w:val="single" w:sz="12" w:space="0" w:color="000000"/>
              <w:right w:val="single" w:sz="12" w:space="0" w:color="000000"/>
            </w:tcBorders>
          </w:tcPr>
          <w:p w:rsidR="00E27BBB" w:rsidRPr="005063D0" w:rsidRDefault="00E27BBB" w:rsidP="003C753C">
            <w:pPr>
              <w:pStyle w:val="TableParagraph"/>
              <w:spacing w:line="230" w:lineRule="exact"/>
              <w:ind w:right="1"/>
              <w:jc w:val="center"/>
            </w:pPr>
            <w:r w:rsidRPr="005063D0">
              <w:t>300,000.00</w:t>
            </w:r>
          </w:p>
        </w:tc>
        <w:tc>
          <w:tcPr>
            <w:tcW w:w="2700" w:type="dxa"/>
            <w:tcBorders>
              <w:top w:val="single" w:sz="4" w:space="0" w:color="000000"/>
              <w:left w:val="single" w:sz="12" w:space="0" w:color="000000"/>
              <w:bottom w:val="single" w:sz="12" w:space="0" w:color="000000"/>
              <w:right w:val="single" w:sz="4" w:space="0" w:color="000000"/>
            </w:tcBorders>
          </w:tcPr>
          <w:p w:rsidR="00E27BBB" w:rsidRPr="005063D0" w:rsidRDefault="00E27BBB" w:rsidP="003C753C">
            <w:pPr>
              <w:pStyle w:val="TableParagraph"/>
              <w:spacing w:line="227" w:lineRule="exact"/>
              <w:ind w:right="12"/>
              <w:jc w:val="center"/>
              <w:rPr>
                <w:rFonts w:cs="Arial"/>
              </w:rPr>
            </w:pPr>
            <w:r w:rsidRPr="005063D0">
              <w:t>12,600.00</w:t>
            </w:r>
          </w:p>
        </w:tc>
        <w:tc>
          <w:tcPr>
            <w:tcW w:w="2701" w:type="dxa"/>
            <w:tcBorders>
              <w:top w:val="single" w:sz="4" w:space="0" w:color="000000"/>
              <w:left w:val="single" w:sz="4" w:space="0" w:color="000000"/>
              <w:bottom w:val="single" w:sz="12" w:space="0" w:color="000000"/>
              <w:right w:val="single" w:sz="12" w:space="0" w:color="000000"/>
            </w:tcBorders>
          </w:tcPr>
          <w:p w:rsidR="00E27BBB" w:rsidRPr="005063D0" w:rsidRDefault="00E27BBB" w:rsidP="003C753C">
            <w:pPr>
              <w:pStyle w:val="TableParagraph"/>
              <w:spacing w:line="227" w:lineRule="exact"/>
              <w:ind w:left="1090"/>
              <w:rPr>
                <w:rFonts w:cs="Arial"/>
              </w:rPr>
            </w:pPr>
            <w:r w:rsidRPr="005063D0">
              <w:t>4.20%</w:t>
            </w:r>
          </w:p>
        </w:tc>
      </w:tr>
    </w:tbl>
    <w:p w:rsidR="00E27BBB" w:rsidRPr="00AA3790" w:rsidRDefault="00E27BBB" w:rsidP="00E27BBB">
      <w:pPr>
        <w:pStyle w:val="BodyText"/>
        <w:ind w:left="1056" w:right="116"/>
        <w:rPr>
          <w:szCs w:val="22"/>
          <w:lang w:eastAsia="fr-BE"/>
        </w:rPr>
      </w:pPr>
    </w:p>
    <w:p w:rsidR="00E27BBB" w:rsidRDefault="00E27BBB" w:rsidP="00E27BBB">
      <w:pPr>
        <w:pStyle w:val="Paragraph"/>
        <w:numPr>
          <w:ilvl w:val="0"/>
          <w:numId w:val="0"/>
        </w:numPr>
        <w:spacing w:after="0"/>
        <w:ind w:left="1056"/>
        <w:rPr>
          <w:lang w:eastAsia="fr-BE"/>
        </w:rPr>
      </w:pPr>
      <w:r w:rsidRPr="00BA5431">
        <w:rPr>
          <w:lang w:eastAsia="fr-BE"/>
        </w:rPr>
        <w:t>Deduction factors may be used to transparently reduce the actual replacement value per</w:t>
      </w:r>
      <w:r w:rsidRPr="00453F8B">
        <w:rPr>
          <w:lang w:eastAsia="fr-BE"/>
        </w:rPr>
        <w:t xml:space="preserve"> </w:t>
      </w:r>
      <w:r w:rsidRPr="00BA5431">
        <w:rPr>
          <w:lang w:eastAsia="fr-BE"/>
        </w:rPr>
        <w:t>end point. The deduction factor will be based on the final replacement value agreed</w:t>
      </w:r>
      <w:r w:rsidRPr="00453F8B">
        <w:rPr>
          <w:lang w:eastAsia="fr-BE"/>
        </w:rPr>
        <w:t xml:space="preserve"> </w:t>
      </w:r>
      <w:r w:rsidRPr="00BA5431">
        <w:rPr>
          <w:lang w:eastAsia="fr-BE"/>
        </w:rPr>
        <w:t>upon.</w:t>
      </w:r>
    </w:p>
    <w:p w:rsidR="00E27BBB" w:rsidRPr="001C04D5" w:rsidRDefault="00E27BBB" w:rsidP="00E27BBB">
      <w:pPr>
        <w:pStyle w:val="Paragraph"/>
        <w:numPr>
          <w:ilvl w:val="0"/>
          <w:numId w:val="0"/>
        </w:numPr>
        <w:spacing w:after="0"/>
        <w:ind w:left="1056"/>
        <w:rPr>
          <w:lang w:eastAsia="fr-BE"/>
        </w:rPr>
      </w:pPr>
    </w:p>
    <w:p w:rsidR="00E27BBB" w:rsidRDefault="00E27BBB" w:rsidP="00E27BBB">
      <w:pPr>
        <w:pStyle w:val="Paragraph"/>
        <w:numPr>
          <w:ilvl w:val="0"/>
          <w:numId w:val="0"/>
        </w:numPr>
        <w:spacing w:after="0"/>
        <w:ind w:left="1056"/>
        <w:rPr>
          <w:lang w:eastAsia="fr-BE"/>
        </w:rPr>
      </w:pPr>
      <w:r w:rsidRPr="00BA5431">
        <w:rPr>
          <w:lang w:eastAsia="fr-BE"/>
        </w:rPr>
        <w:t>More than one deduction factor can be applicable for a certain study</w:t>
      </w:r>
      <w:r w:rsidRPr="00453F8B">
        <w:rPr>
          <w:lang w:eastAsia="fr-BE"/>
        </w:rPr>
        <w:t xml:space="preserve"> </w:t>
      </w:r>
      <w:r w:rsidRPr="00BA5431">
        <w:rPr>
          <w:lang w:eastAsia="fr-BE"/>
        </w:rPr>
        <w:t>value:</w:t>
      </w:r>
    </w:p>
    <w:p w:rsidR="00E27BBB" w:rsidRPr="00BA5431" w:rsidRDefault="00E27BBB" w:rsidP="00E27BBB">
      <w:pPr>
        <w:pStyle w:val="Paragraph"/>
        <w:numPr>
          <w:ilvl w:val="0"/>
          <w:numId w:val="0"/>
        </w:numPr>
        <w:spacing w:after="0"/>
        <w:ind w:left="1056"/>
        <w:rPr>
          <w:lang w:eastAsia="fr-BE"/>
        </w:rPr>
      </w:pPr>
    </w:p>
    <w:p w:rsidR="00E27BBB" w:rsidRPr="00AA3790" w:rsidRDefault="00E27BBB" w:rsidP="00E27BBB">
      <w:pPr>
        <w:pStyle w:val="ListParagraph"/>
        <w:widowControl w:val="0"/>
        <w:numPr>
          <w:ilvl w:val="0"/>
          <w:numId w:val="33"/>
        </w:numPr>
        <w:tabs>
          <w:tab w:val="left" w:pos="822"/>
        </w:tabs>
        <w:spacing w:before="1" w:after="0"/>
        <w:ind w:hanging="502"/>
        <w:contextualSpacing w:val="0"/>
      </w:pPr>
      <w:r w:rsidRPr="00AA3790">
        <w:t>M</w:t>
      </w:r>
      <w:r w:rsidRPr="00E478F3">
        <w:t>inus</w:t>
      </w:r>
      <w:r>
        <w:t xml:space="preserve"> </w:t>
      </w:r>
      <w:r w:rsidRPr="00E478F3">
        <w:t>20</w:t>
      </w:r>
      <w:r w:rsidRPr="00AA3790">
        <w:t>% for a Klimisch 2 study;</w:t>
      </w:r>
    </w:p>
    <w:p w:rsidR="00E27BBB" w:rsidRPr="00AA3790" w:rsidRDefault="00E27BBB" w:rsidP="00E27BBB">
      <w:pPr>
        <w:pStyle w:val="ListParagraph"/>
        <w:widowControl w:val="0"/>
        <w:numPr>
          <w:ilvl w:val="0"/>
          <w:numId w:val="33"/>
        </w:numPr>
        <w:tabs>
          <w:tab w:val="left" w:pos="822"/>
        </w:tabs>
        <w:spacing w:before="57" w:after="0"/>
        <w:ind w:hanging="502"/>
        <w:contextualSpacing w:val="0"/>
      </w:pPr>
      <w:r w:rsidRPr="00AA3790">
        <w:t xml:space="preserve">Minus </w:t>
      </w:r>
      <w:r w:rsidRPr="00E478F3">
        <w:t>100</w:t>
      </w:r>
      <w:r w:rsidRPr="00AA3790">
        <w:t xml:space="preserve">% for a Klimisch 3 or 4 study. However, on a case-by-case basis, the </w:t>
      </w:r>
      <w:r>
        <w:t>C</w:t>
      </w:r>
      <w:r w:rsidRPr="00AA3790">
        <w:t>onsortium can suggest to include Klimisch 3 &amp; 4 studies if they significantly contributed in the filling of a data gap (e.g. by weighted evidence). The deduction factor must be determined on a case by case basis;</w:t>
      </w:r>
    </w:p>
    <w:p w:rsidR="00E27BBB" w:rsidRPr="00AA3790" w:rsidRDefault="00E27BBB" w:rsidP="00E27BBB">
      <w:pPr>
        <w:pStyle w:val="ListParagraph"/>
        <w:widowControl w:val="0"/>
        <w:numPr>
          <w:ilvl w:val="0"/>
          <w:numId w:val="33"/>
        </w:numPr>
        <w:tabs>
          <w:tab w:val="left" w:pos="822"/>
        </w:tabs>
        <w:spacing w:after="0"/>
        <w:ind w:hanging="502"/>
        <w:contextualSpacing w:val="0"/>
      </w:pPr>
      <w:r w:rsidRPr="00AA3790">
        <w:t>Minus</w:t>
      </w:r>
      <w:r w:rsidRPr="00E478F3">
        <w:t xml:space="preserve"> </w:t>
      </w:r>
      <w:r>
        <w:t>50</w:t>
      </w:r>
      <w:r w:rsidRPr="00AA3790">
        <w:t>%</w:t>
      </w:r>
      <w:r w:rsidRPr="00E478F3">
        <w:t xml:space="preserve"> </w:t>
      </w:r>
      <w:r w:rsidRPr="00AA3790">
        <w:t>for</w:t>
      </w:r>
      <w:r w:rsidRPr="00E478F3">
        <w:t xml:space="preserve"> </w:t>
      </w:r>
      <w:r w:rsidRPr="00AA3790">
        <w:t>a</w:t>
      </w:r>
      <w:r w:rsidRPr="00E478F3">
        <w:t xml:space="preserve"> </w:t>
      </w:r>
      <w:r w:rsidRPr="00AA3790">
        <w:t>Letter</w:t>
      </w:r>
      <w:r w:rsidRPr="00E478F3">
        <w:t xml:space="preserve"> </w:t>
      </w:r>
      <w:r w:rsidRPr="00AA3790">
        <w:t>of</w:t>
      </w:r>
      <w:r w:rsidRPr="00E478F3">
        <w:t xml:space="preserve"> </w:t>
      </w:r>
      <w:r w:rsidRPr="00AA3790">
        <w:t>Access</w:t>
      </w:r>
      <w:r w:rsidRPr="00E478F3">
        <w:t xml:space="preserve"> </w:t>
      </w:r>
      <w:r w:rsidRPr="00AA3790">
        <w:t xml:space="preserve"> giving the right to refer to the joint registration dossiers and to the data contained therein only for the purpose of a registration under </w:t>
      </w:r>
      <w:r w:rsidRPr="00E478F3">
        <w:t xml:space="preserve">EU </w:t>
      </w:r>
      <w:r w:rsidRPr="00AA3790">
        <w:t>REACH</w:t>
      </w:r>
      <w:r w:rsidRPr="00E478F3">
        <w:t xml:space="preserve"> </w:t>
      </w:r>
      <w:r w:rsidRPr="00AA3790">
        <w:t>by</w:t>
      </w:r>
      <w:r w:rsidRPr="00E478F3">
        <w:t xml:space="preserve"> </w:t>
      </w:r>
      <w:r w:rsidRPr="00AA3790">
        <w:t>a</w:t>
      </w:r>
      <w:r w:rsidRPr="00E478F3">
        <w:t xml:space="preserve"> </w:t>
      </w:r>
      <w:r w:rsidRPr="00AA3790">
        <w:t>co-registrant</w:t>
      </w:r>
      <w:r w:rsidRPr="00E478F3">
        <w:t xml:space="preserve"> </w:t>
      </w:r>
      <w:r w:rsidRPr="00AA3790">
        <w:t>(no transfer of the actual study report or study</w:t>
      </w:r>
      <w:r w:rsidRPr="00E478F3">
        <w:t xml:space="preserve"> </w:t>
      </w:r>
      <w:r w:rsidRPr="00AA3790">
        <w:t>data and no co-ownership on the dossier or on the data granted).</w:t>
      </w:r>
    </w:p>
    <w:p w:rsidR="00E27BBB" w:rsidRPr="00AA3790" w:rsidRDefault="00E27BBB" w:rsidP="006F5102">
      <w:pPr>
        <w:pStyle w:val="ListParagraph"/>
        <w:widowControl w:val="0"/>
        <w:numPr>
          <w:ilvl w:val="0"/>
          <w:numId w:val="0"/>
        </w:numPr>
        <w:tabs>
          <w:tab w:val="left" w:pos="822"/>
        </w:tabs>
        <w:ind w:left="1878" w:right="111"/>
        <w:contextualSpacing w:val="0"/>
      </w:pPr>
    </w:p>
    <w:p w:rsidR="00E27BBB" w:rsidRDefault="00E27BBB" w:rsidP="00E27BBB">
      <w:pPr>
        <w:pStyle w:val="Paragraph"/>
        <w:numPr>
          <w:ilvl w:val="0"/>
          <w:numId w:val="0"/>
        </w:numPr>
        <w:spacing w:after="0"/>
        <w:ind w:left="1056"/>
        <w:rPr>
          <w:lang w:eastAsia="fr-BE"/>
        </w:rPr>
      </w:pPr>
      <w:r w:rsidRPr="00BA5431">
        <w:rPr>
          <w:lang w:eastAsia="fr-BE"/>
        </w:rPr>
        <w:t>If</w:t>
      </w:r>
      <w:r w:rsidRPr="00453F8B">
        <w:rPr>
          <w:lang w:eastAsia="fr-BE"/>
        </w:rPr>
        <w:t xml:space="preserve"> </w:t>
      </w:r>
      <w:r w:rsidRPr="00BA5431">
        <w:rPr>
          <w:lang w:eastAsia="fr-BE"/>
        </w:rPr>
        <w:t>data</w:t>
      </w:r>
      <w:r w:rsidRPr="00453F8B">
        <w:rPr>
          <w:lang w:eastAsia="fr-BE"/>
        </w:rPr>
        <w:t xml:space="preserve"> </w:t>
      </w:r>
      <w:r w:rsidRPr="00BA5431">
        <w:rPr>
          <w:lang w:eastAsia="fr-BE"/>
        </w:rPr>
        <w:t>are</w:t>
      </w:r>
      <w:r w:rsidRPr="00453F8B">
        <w:rPr>
          <w:lang w:eastAsia="fr-BE"/>
        </w:rPr>
        <w:t xml:space="preserve"> </w:t>
      </w:r>
      <w:r w:rsidRPr="00BA5431">
        <w:rPr>
          <w:lang w:eastAsia="fr-BE"/>
        </w:rPr>
        <w:t>to</w:t>
      </w:r>
      <w:r w:rsidRPr="00453F8B">
        <w:rPr>
          <w:lang w:eastAsia="fr-BE"/>
        </w:rPr>
        <w:t xml:space="preserve"> </w:t>
      </w:r>
      <w:r w:rsidRPr="00BA5431">
        <w:rPr>
          <w:lang w:eastAsia="fr-BE"/>
        </w:rPr>
        <w:t>be</w:t>
      </w:r>
      <w:r w:rsidRPr="00453F8B">
        <w:rPr>
          <w:lang w:eastAsia="fr-BE"/>
        </w:rPr>
        <w:t xml:space="preserve"> </w:t>
      </w:r>
      <w:r w:rsidRPr="00BA5431">
        <w:rPr>
          <w:lang w:eastAsia="fr-BE"/>
        </w:rPr>
        <w:t>used</w:t>
      </w:r>
      <w:r w:rsidRPr="00453F8B">
        <w:rPr>
          <w:lang w:eastAsia="fr-BE"/>
        </w:rPr>
        <w:t xml:space="preserve"> </w:t>
      </w:r>
      <w:r w:rsidRPr="00BA5431">
        <w:rPr>
          <w:lang w:eastAsia="fr-BE"/>
        </w:rPr>
        <w:t>for</w:t>
      </w:r>
      <w:r w:rsidRPr="00453F8B">
        <w:rPr>
          <w:lang w:eastAsia="fr-BE"/>
        </w:rPr>
        <w:t xml:space="preserve"> </w:t>
      </w:r>
      <w:r w:rsidRPr="00BA5431">
        <w:rPr>
          <w:lang w:eastAsia="fr-BE"/>
        </w:rPr>
        <w:t>another</w:t>
      </w:r>
      <w:r w:rsidRPr="00453F8B">
        <w:rPr>
          <w:lang w:eastAsia="fr-BE"/>
        </w:rPr>
        <w:t xml:space="preserve"> </w:t>
      </w:r>
      <w:r w:rsidRPr="00BA5431">
        <w:rPr>
          <w:lang w:eastAsia="fr-BE"/>
        </w:rPr>
        <w:t>purpose,</w:t>
      </w:r>
      <w:r w:rsidRPr="00453F8B">
        <w:rPr>
          <w:lang w:eastAsia="fr-BE"/>
        </w:rPr>
        <w:t xml:space="preserve"> </w:t>
      </w:r>
      <w:r w:rsidRPr="00BA5431">
        <w:rPr>
          <w:lang w:eastAsia="fr-BE"/>
        </w:rPr>
        <w:t>a</w:t>
      </w:r>
      <w:r w:rsidRPr="00453F8B">
        <w:rPr>
          <w:lang w:eastAsia="fr-BE"/>
        </w:rPr>
        <w:t xml:space="preserve"> </w:t>
      </w:r>
      <w:r w:rsidRPr="00BA5431">
        <w:rPr>
          <w:lang w:eastAsia="fr-BE"/>
        </w:rPr>
        <w:t>bilateral</w:t>
      </w:r>
      <w:r w:rsidRPr="00453F8B">
        <w:rPr>
          <w:lang w:eastAsia="fr-BE"/>
        </w:rPr>
        <w:t xml:space="preserve"> </w:t>
      </w:r>
      <w:r w:rsidRPr="00BA5431">
        <w:rPr>
          <w:lang w:eastAsia="fr-BE"/>
        </w:rPr>
        <w:t>agreement</w:t>
      </w:r>
      <w:r w:rsidRPr="00453F8B">
        <w:rPr>
          <w:lang w:eastAsia="fr-BE"/>
        </w:rPr>
        <w:t xml:space="preserve"> </w:t>
      </w:r>
      <w:r w:rsidRPr="00BA5431">
        <w:rPr>
          <w:lang w:eastAsia="fr-BE"/>
        </w:rPr>
        <w:t>is</w:t>
      </w:r>
      <w:r w:rsidRPr="00453F8B">
        <w:rPr>
          <w:lang w:eastAsia="fr-BE"/>
        </w:rPr>
        <w:t xml:space="preserve"> </w:t>
      </w:r>
      <w:r>
        <w:rPr>
          <w:lang w:eastAsia="fr-BE"/>
        </w:rPr>
        <w:t>to be executed</w:t>
      </w:r>
      <w:r w:rsidRPr="00453F8B">
        <w:rPr>
          <w:lang w:eastAsia="fr-BE"/>
        </w:rPr>
        <w:t xml:space="preserve"> </w:t>
      </w:r>
      <w:r w:rsidRPr="00BA5431">
        <w:rPr>
          <w:lang w:eastAsia="fr-BE"/>
        </w:rPr>
        <w:t>with</w:t>
      </w:r>
      <w:r w:rsidRPr="00453F8B">
        <w:rPr>
          <w:lang w:eastAsia="fr-BE"/>
        </w:rPr>
        <w:t xml:space="preserve"> </w:t>
      </w:r>
      <w:r w:rsidRPr="00BA5431">
        <w:rPr>
          <w:lang w:eastAsia="fr-BE"/>
        </w:rPr>
        <w:t>the</w:t>
      </w:r>
      <w:r w:rsidRPr="00453F8B">
        <w:rPr>
          <w:lang w:eastAsia="fr-BE"/>
        </w:rPr>
        <w:t xml:space="preserve"> </w:t>
      </w:r>
      <w:r w:rsidRPr="00BA5431">
        <w:rPr>
          <w:lang w:eastAsia="fr-BE"/>
        </w:rPr>
        <w:t>data owner.</w:t>
      </w:r>
    </w:p>
    <w:p w:rsidR="00E27BBB" w:rsidRPr="000F5C39" w:rsidRDefault="00E27BBB" w:rsidP="00E27BBB">
      <w:pPr>
        <w:autoSpaceDE w:val="0"/>
        <w:autoSpaceDN w:val="0"/>
        <w:adjustRightInd w:val="0"/>
        <w:ind w:left="1056"/>
        <w:rPr>
          <w:b/>
          <w:u w:val="single"/>
        </w:rPr>
      </w:pPr>
    </w:p>
    <w:p w:rsidR="00E27BBB" w:rsidRPr="000F5C39" w:rsidRDefault="00E27BBB" w:rsidP="00E27BBB">
      <w:pPr>
        <w:autoSpaceDE w:val="0"/>
        <w:autoSpaceDN w:val="0"/>
        <w:adjustRightInd w:val="0"/>
      </w:pPr>
    </w:p>
    <w:p w:rsidR="00E27BBB" w:rsidRPr="000F5C39" w:rsidRDefault="00E27BBB" w:rsidP="00E27BBB">
      <w:pPr>
        <w:numPr>
          <w:ilvl w:val="0"/>
          <w:numId w:val="29"/>
        </w:numPr>
        <w:autoSpaceDE w:val="0"/>
        <w:autoSpaceDN w:val="0"/>
        <w:adjustRightInd w:val="0"/>
        <w:spacing w:after="0"/>
        <w:rPr>
          <w:b/>
          <w:u w:val="single"/>
        </w:rPr>
      </w:pPr>
      <w:r w:rsidRPr="000F5C39">
        <w:rPr>
          <w:b/>
          <w:u w:val="single"/>
        </w:rPr>
        <w:t>Cost for CSR / Guidance on Safe Use</w:t>
      </w:r>
    </w:p>
    <w:p w:rsidR="00E27BBB" w:rsidRPr="000F5C39" w:rsidRDefault="00E27BBB" w:rsidP="00E27BBB">
      <w:pPr>
        <w:autoSpaceDE w:val="0"/>
        <w:autoSpaceDN w:val="0"/>
        <w:adjustRightInd w:val="0"/>
      </w:pPr>
    </w:p>
    <w:p w:rsidR="00E27BBB" w:rsidRPr="00B25C1A" w:rsidRDefault="00E27BBB" w:rsidP="00E27BBB">
      <w:pPr>
        <w:autoSpaceDE w:val="0"/>
        <w:autoSpaceDN w:val="0"/>
        <w:adjustRightInd w:val="0"/>
      </w:pPr>
      <w:r w:rsidRPr="000F5C39">
        <w:t>Cost to be determined based on effort. This may lead to different cost for the CSR / Guidance on Safe Use for different uses.</w:t>
      </w:r>
    </w:p>
    <w:p w:rsidR="00E27BBB" w:rsidRPr="000F5C39" w:rsidRDefault="00E27BBB" w:rsidP="00E27BBB">
      <w:pPr>
        <w:numPr>
          <w:ilvl w:val="0"/>
          <w:numId w:val="34"/>
        </w:numPr>
        <w:autoSpaceDE w:val="0"/>
        <w:autoSpaceDN w:val="0"/>
        <w:adjustRightInd w:val="0"/>
        <w:spacing w:after="0"/>
        <w:ind w:left="1776"/>
        <w:rPr>
          <w:b/>
          <w:u w:val="single"/>
        </w:rPr>
      </w:pPr>
      <w:r w:rsidRPr="000F5C39">
        <w:rPr>
          <w:b/>
          <w:u w:val="single"/>
        </w:rPr>
        <w:t>Example</w:t>
      </w:r>
    </w:p>
    <w:p w:rsidR="00E27BBB" w:rsidRPr="004853B0" w:rsidRDefault="00E27BBB" w:rsidP="00E27BBB">
      <w:pPr>
        <w:autoSpaceDE w:val="0"/>
        <w:autoSpaceDN w:val="0"/>
        <w:adjustRightInd w:val="0"/>
        <w:ind w:left="1056"/>
      </w:pPr>
      <w:r w:rsidRPr="004853B0">
        <w:t>4 Lead Members (including the Lead Registrant) / Non-Lead Members (A, C, E, F)</w:t>
      </w:r>
    </w:p>
    <w:p w:rsidR="00E27BBB" w:rsidRPr="004853B0" w:rsidRDefault="00E27BBB" w:rsidP="006F5102">
      <w:pPr>
        <w:autoSpaceDE w:val="0"/>
        <w:autoSpaceDN w:val="0"/>
        <w:adjustRightInd w:val="0"/>
        <w:ind w:left="1056"/>
      </w:pPr>
      <w:r w:rsidRPr="004853B0">
        <w:t>CSR / Guidance on Safe Use for e.g. polymer production: 50 000 €</w:t>
      </w:r>
    </w:p>
    <w:p w:rsidR="00E27BBB" w:rsidRPr="004853B0" w:rsidRDefault="00E27BBB" w:rsidP="00E27BBB">
      <w:pPr>
        <w:autoSpaceDE w:val="0"/>
        <w:autoSpaceDN w:val="0"/>
        <w:adjustRightInd w:val="0"/>
        <w:ind w:left="1056"/>
      </w:pPr>
      <w:r w:rsidRPr="004853B0">
        <w:t>Share per Lead Members (including the Lead Registrant) / Non-Lead Members:</w:t>
      </w:r>
    </w:p>
    <w:p w:rsidR="00E27BBB" w:rsidRPr="000F5C39" w:rsidRDefault="00E27BBB" w:rsidP="00B25C1A">
      <w:pPr>
        <w:autoSpaceDE w:val="0"/>
        <w:autoSpaceDN w:val="0"/>
        <w:adjustRightInd w:val="0"/>
        <w:ind w:left="1056"/>
      </w:pPr>
      <w:r w:rsidRPr="004853B0">
        <w:t>50 000 € / 4 = 12 500 €</w:t>
      </w:r>
    </w:p>
    <w:p w:rsidR="00E27BBB" w:rsidRPr="00AA3790" w:rsidRDefault="00E27BBB" w:rsidP="00E27BBB">
      <w:pPr>
        <w:autoSpaceDE w:val="0"/>
        <w:autoSpaceDN w:val="0"/>
        <w:adjustRightInd w:val="0"/>
        <w:rPr>
          <w:b/>
          <w:u w:val="single"/>
        </w:rPr>
      </w:pPr>
      <w:r w:rsidRPr="00AA3790">
        <w:rPr>
          <w:b/>
          <w:u w:val="single"/>
        </w:rPr>
        <w:t>Cost sharing basis</w:t>
      </w:r>
    </w:p>
    <w:p w:rsidR="00E27BBB" w:rsidRDefault="00E27BBB" w:rsidP="00E27BBB">
      <w:pPr>
        <w:pStyle w:val="Paragraph"/>
        <w:numPr>
          <w:ilvl w:val="0"/>
          <w:numId w:val="0"/>
        </w:numPr>
        <w:spacing w:after="0"/>
      </w:pPr>
    </w:p>
    <w:p w:rsidR="00E27BBB" w:rsidRDefault="00E27BBB" w:rsidP="00E27BBB">
      <w:pPr>
        <w:pStyle w:val="Paragraph"/>
        <w:numPr>
          <w:ilvl w:val="0"/>
          <w:numId w:val="0"/>
        </w:numPr>
        <w:spacing w:after="0"/>
      </w:pPr>
      <w:r w:rsidRPr="005E6142">
        <w:t xml:space="preserve">Costs are re-calculated after each registration deadline and afterwards on a regular basis. The registrants may either be reimbursed (threshold: </w:t>
      </w:r>
      <w:r>
        <w:t xml:space="preserve">EUR </w:t>
      </w:r>
      <w:r w:rsidRPr="005E6142">
        <w:t>1</w:t>
      </w:r>
      <w:r>
        <w:t>.</w:t>
      </w:r>
      <w:r w:rsidRPr="005E6142">
        <w:t>000</w:t>
      </w:r>
      <w:r>
        <w:t>,00</w:t>
      </w:r>
      <w:r w:rsidRPr="005E6142">
        <w:t>) or invoiced.</w:t>
      </w:r>
      <w:r w:rsidRPr="00BA5431">
        <w:t xml:space="preserve"> </w:t>
      </w:r>
    </w:p>
    <w:p w:rsidR="00E27BBB" w:rsidRPr="000F5C39" w:rsidRDefault="00E27BBB" w:rsidP="00E27BBB">
      <w:pPr>
        <w:rPr>
          <w:b/>
          <w:u w:val="single"/>
        </w:rPr>
      </w:pPr>
    </w:p>
    <w:p w:rsidR="00E27BBB" w:rsidRPr="000F5C39" w:rsidRDefault="00E27BBB" w:rsidP="00E27BBB">
      <w:pPr>
        <w:spacing w:line="276" w:lineRule="auto"/>
        <w:rPr>
          <w:b/>
          <w:u w:val="single"/>
        </w:rPr>
      </w:pPr>
    </w:p>
    <w:p w:rsidR="00E27BBB" w:rsidRPr="00AA3790" w:rsidRDefault="00E27BBB" w:rsidP="00E27BBB">
      <w:pPr>
        <w:numPr>
          <w:ilvl w:val="0"/>
          <w:numId w:val="29"/>
        </w:numPr>
        <w:autoSpaceDE w:val="0"/>
        <w:autoSpaceDN w:val="0"/>
        <w:adjustRightInd w:val="0"/>
        <w:spacing w:after="0"/>
        <w:rPr>
          <w:b/>
          <w:u w:val="single"/>
        </w:rPr>
      </w:pPr>
      <w:r w:rsidRPr="00AA3790">
        <w:rPr>
          <w:b/>
          <w:u w:val="single"/>
        </w:rPr>
        <w:t>Post registration cost-sharing obligations</w:t>
      </w:r>
    </w:p>
    <w:p w:rsidR="00E27BBB" w:rsidRPr="000F5C39" w:rsidRDefault="00E27BBB" w:rsidP="00E27BBB">
      <w:pPr>
        <w:spacing w:line="276" w:lineRule="auto"/>
        <w:rPr>
          <w:b/>
          <w:color w:val="FF0000"/>
          <w:u w:val="single"/>
        </w:rPr>
      </w:pPr>
    </w:p>
    <w:p w:rsidR="00E27BBB" w:rsidRPr="000F5C39" w:rsidRDefault="00E27BBB" w:rsidP="00E27BBB">
      <w:pPr>
        <w:pStyle w:val="BodyText"/>
        <w:numPr>
          <w:ilvl w:val="0"/>
          <w:numId w:val="27"/>
        </w:numPr>
        <w:tabs>
          <w:tab w:val="clear" w:pos="0"/>
          <w:tab w:val="clear" w:pos="1246"/>
          <w:tab w:val="clear" w:pos="1870"/>
          <w:tab w:val="clear" w:pos="2493"/>
          <w:tab w:val="clear" w:pos="3117"/>
          <w:tab w:val="clear" w:pos="3741"/>
          <w:tab w:val="clear" w:pos="4364"/>
          <w:tab w:val="clear" w:pos="4988"/>
          <w:tab w:val="clear" w:pos="5612"/>
          <w:tab w:val="clear" w:pos="6235"/>
          <w:tab w:val="clear" w:pos="6859"/>
          <w:tab w:val="clear" w:pos="7483"/>
          <w:tab w:val="clear" w:pos="8106"/>
        </w:tabs>
        <w:spacing w:after="0"/>
        <w:ind w:left="1776" w:right="117"/>
        <w:jc w:val="left"/>
        <w:rPr>
          <w:b/>
          <w:szCs w:val="22"/>
        </w:rPr>
      </w:pPr>
      <w:r w:rsidRPr="000F5C39">
        <w:rPr>
          <w:b/>
          <w:szCs w:val="22"/>
        </w:rPr>
        <w:t>Administrative, dossier and CSR costs</w:t>
      </w:r>
    </w:p>
    <w:p w:rsidR="00E27BBB" w:rsidRPr="000F5C39" w:rsidRDefault="00E27BBB" w:rsidP="00E27BBB">
      <w:pPr>
        <w:pStyle w:val="BodyText"/>
        <w:spacing w:after="0"/>
        <w:ind w:left="1171" w:right="117"/>
        <w:rPr>
          <w:szCs w:val="22"/>
        </w:rPr>
      </w:pPr>
    </w:p>
    <w:p w:rsidR="00E27BBB" w:rsidRPr="000F5C39" w:rsidRDefault="00E27BBB" w:rsidP="00E27BBB">
      <w:pPr>
        <w:pStyle w:val="Paragraph"/>
        <w:numPr>
          <w:ilvl w:val="0"/>
          <w:numId w:val="0"/>
        </w:numPr>
        <w:spacing w:after="0"/>
        <w:ind w:left="1056"/>
      </w:pPr>
      <w:r w:rsidRPr="000F5C39">
        <w:t xml:space="preserve">Registrants are bound to contribute in a fair way to additional administrative, dossier and CSR costs (either already incurred by the </w:t>
      </w:r>
      <w:r>
        <w:t>C</w:t>
      </w:r>
      <w:r w:rsidRPr="000F5C39">
        <w:t xml:space="preserve">onsortium or estimated) after the purchase of a Letter of Access. A provision for future administrative costs may be included in the price of the Letter of Access. The amount of such provision may also depend on the estimation of the workload on the Substance that is reasonably foreseen for the following years. </w:t>
      </w:r>
    </w:p>
    <w:p w:rsidR="00E27BBB" w:rsidRPr="000F5C39" w:rsidRDefault="00E27BBB" w:rsidP="00E27BBB">
      <w:pPr>
        <w:pStyle w:val="BodyText"/>
        <w:spacing w:after="0"/>
        <w:ind w:left="1056" w:right="117"/>
        <w:rPr>
          <w:szCs w:val="22"/>
        </w:rPr>
      </w:pPr>
    </w:p>
    <w:p w:rsidR="00E27BBB" w:rsidRPr="000F5C39" w:rsidRDefault="00E27BBB" w:rsidP="00E27BBB">
      <w:pPr>
        <w:pStyle w:val="Paragraph"/>
        <w:numPr>
          <w:ilvl w:val="0"/>
          <w:numId w:val="0"/>
        </w:numPr>
        <w:spacing w:after="0"/>
        <w:ind w:left="1056"/>
      </w:pPr>
      <w:r w:rsidRPr="000F5C39">
        <w:t>These costs will be shared according to the standard rules for sharing administrative</w:t>
      </w:r>
      <w:r>
        <w:t xml:space="preserve"> and dossier</w:t>
      </w:r>
      <w:r w:rsidRPr="000F5C39">
        <w:t xml:space="preserve"> costs outlined under Section</w:t>
      </w:r>
      <w:r>
        <w:t>s</w:t>
      </w:r>
      <w:r w:rsidRPr="000F5C39">
        <w:t xml:space="preserve"> 1.)</w:t>
      </w:r>
      <w:r>
        <w:t xml:space="preserve"> to 3.)</w:t>
      </w:r>
      <w:r w:rsidRPr="000F5C39">
        <w:t xml:space="preserve"> above.</w:t>
      </w:r>
    </w:p>
    <w:p w:rsidR="00E27BBB" w:rsidRPr="000F5C39" w:rsidRDefault="00E27BBB" w:rsidP="00E27BBB">
      <w:pPr>
        <w:pStyle w:val="BodyText"/>
        <w:spacing w:after="0"/>
        <w:ind w:left="1056" w:right="117"/>
        <w:rPr>
          <w:szCs w:val="22"/>
        </w:rPr>
      </w:pPr>
    </w:p>
    <w:p w:rsidR="00E27BBB" w:rsidRPr="000F5C39" w:rsidRDefault="00E27BBB" w:rsidP="00E27BBB">
      <w:pPr>
        <w:autoSpaceDE w:val="0"/>
        <w:autoSpaceDN w:val="0"/>
        <w:adjustRightInd w:val="0"/>
        <w:spacing w:line="276" w:lineRule="auto"/>
        <w:ind w:left="1056"/>
        <w:rPr>
          <w:color w:val="FF0000"/>
          <w:u w:val="single"/>
        </w:rPr>
      </w:pPr>
    </w:p>
    <w:p w:rsidR="00E27BBB" w:rsidRPr="000F5C39" w:rsidRDefault="00E27BBB" w:rsidP="00E27BBB">
      <w:pPr>
        <w:pStyle w:val="BodyText"/>
        <w:numPr>
          <w:ilvl w:val="0"/>
          <w:numId w:val="27"/>
        </w:numPr>
        <w:tabs>
          <w:tab w:val="clear" w:pos="0"/>
          <w:tab w:val="clear" w:pos="1246"/>
          <w:tab w:val="clear" w:pos="1870"/>
          <w:tab w:val="clear" w:pos="2493"/>
          <w:tab w:val="clear" w:pos="3117"/>
          <w:tab w:val="clear" w:pos="3741"/>
          <w:tab w:val="clear" w:pos="4364"/>
          <w:tab w:val="clear" w:pos="4988"/>
          <w:tab w:val="clear" w:pos="5612"/>
          <w:tab w:val="clear" w:pos="6235"/>
          <w:tab w:val="clear" w:pos="6859"/>
          <w:tab w:val="clear" w:pos="7483"/>
          <w:tab w:val="clear" w:pos="8106"/>
        </w:tabs>
        <w:spacing w:after="0"/>
        <w:ind w:left="1776" w:right="117"/>
        <w:jc w:val="left"/>
        <w:rPr>
          <w:b/>
          <w:szCs w:val="22"/>
        </w:rPr>
      </w:pPr>
      <w:r w:rsidRPr="000F5C39">
        <w:rPr>
          <w:b/>
          <w:szCs w:val="22"/>
        </w:rPr>
        <w:t xml:space="preserve">Study (data) costs </w:t>
      </w:r>
    </w:p>
    <w:p w:rsidR="00E27BBB" w:rsidRPr="000F5C39" w:rsidRDefault="00E27BBB" w:rsidP="00E27BBB">
      <w:pPr>
        <w:pStyle w:val="BodyText"/>
        <w:tabs>
          <w:tab w:val="clear" w:pos="0"/>
          <w:tab w:val="clear" w:pos="1246"/>
          <w:tab w:val="clear" w:pos="1870"/>
          <w:tab w:val="clear" w:pos="2493"/>
          <w:tab w:val="clear" w:pos="3117"/>
          <w:tab w:val="clear" w:pos="3741"/>
          <w:tab w:val="clear" w:pos="4364"/>
          <w:tab w:val="clear" w:pos="4988"/>
          <w:tab w:val="clear" w:pos="5612"/>
          <w:tab w:val="clear" w:pos="6235"/>
          <w:tab w:val="clear" w:pos="6859"/>
          <w:tab w:val="clear" w:pos="7483"/>
          <w:tab w:val="clear" w:pos="8106"/>
        </w:tabs>
        <w:spacing w:after="0"/>
        <w:ind w:left="1776" w:right="117"/>
        <w:jc w:val="left"/>
        <w:rPr>
          <w:b/>
          <w:szCs w:val="22"/>
        </w:rPr>
      </w:pPr>
    </w:p>
    <w:p w:rsidR="00E27BBB" w:rsidRPr="000F5C39" w:rsidRDefault="00E27BBB" w:rsidP="00E27BBB">
      <w:pPr>
        <w:pStyle w:val="BodyText"/>
        <w:numPr>
          <w:ilvl w:val="1"/>
          <w:numId w:val="27"/>
        </w:numPr>
        <w:tabs>
          <w:tab w:val="clear" w:pos="0"/>
          <w:tab w:val="clear" w:pos="1246"/>
          <w:tab w:val="clear" w:pos="1870"/>
          <w:tab w:val="clear" w:pos="2493"/>
          <w:tab w:val="clear" w:pos="3117"/>
          <w:tab w:val="clear" w:pos="3741"/>
          <w:tab w:val="clear" w:pos="4364"/>
          <w:tab w:val="clear" w:pos="4988"/>
          <w:tab w:val="clear" w:pos="5612"/>
          <w:tab w:val="clear" w:pos="6235"/>
          <w:tab w:val="clear" w:pos="6859"/>
          <w:tab w:val="clear" w:pos="7483"/>
          <w:tab w:val="clear" w:pos="8106"/>
        </w:tabs>
        <w:spacing w:after="0"/>
        <w:ind w:left="2496" w:right="117"/>
        <w:jc w:val="left"/>
        <w:rPr>
          <w:b/>
          <w:szCs w:val="22"/>
        </w:rPr>
      </w:pPr>
      <w:r w:rsidRPr="000F5C39">
        <w:rPr>
          <w:rFonts w:eastAsia="Calibri"/>
          <w:b/>
          <w:szCs w:val="22"/>
        </w:rPr>
        <w:t>Voluntary updates</w:t>
      </w:r>
    </w:p>
    <w:p w:rsidR="00E27BBB" w:rsidRPr="000F5C39" w:rsidRDefault="00E27BBB" w:rsidP="00E27BBB">
      <w:pPr>
        <w:pStyle w:val="BodyText"/>
        <w:spacing w:after="0"/>
        <w:ind w:left="2502" w:right="117"/>
        <w:rPr>
          <w:rFonts w:eastAsia="Calibri"/>
          <w:szCs w:val="22"/>
        </w:rPr>
      </w:pPr>
    </w:p>
    <w:p w:rsidR="00E27BBB" w:rsidRPr="000F5C39" w:rsidRDefault="00E27BBB" w:rsidP="00E27BBB">
      <w:pPr>
        <w:pStyle w:val="Paragraph"/>
        <w:numPr>
          <w:ilvl w:val="0"/>
          <w:numId w:val="0"/>
        </w:numPr>
        <w:spacing w:after="0"/>
        <w:ind w:left="1056"/>
        <w:rPr>
          <w:rFonts w:eastAsia="Calibri"/>
        </w:rPr>
      </w:pPr>
      <w:r w:rsidRPr="000F5C39">
        <w:rPr>
          <w:rFonts w:eastAsia="Calibri"/>
        </w:rPr>
        <w:t xml:space="preserve">Study costs linked to voluntary dossier updates will be </w:t>
      </w:r>
      <w:r w:rsidRPr="000F5C39">
        <w:t>shared</w:t>
      </w:r>
      <w:r w:rsidRPr="000F5C39">
        <w:rPr>
          <w:rFonts w:eastAsia="Calibri"/>
        </w:rPr>
        <w:t xml:space="preserve"> according to the rules set out in </w:t>
      </w:r>
      <w:r>
        <w:rPr>
          <w:rFonts w:eastAsia="Calibri"/>
        </w:rPr>
        <w:t xml:space="preserve">Sections 1) to </w:t>
      </w:r>
      <w:r w:rsidRPr="00AA3790">
        <w:rPr>
          <w:rFonts w:eastAsia="Calibri"/>
          <w:lang w:val="en-US"/>
        </w:rPr>
        <w:t>3) above.</w:t>
      </w:r>
    </w:p>
    <w:p w:rsidR="00E27BBB" w:rsidRPr="000F5C39" w:rsidRDefault="00E27BBB" w:rsidP="00E27BBB">
      <w:pPr>
        <w:pStyle w:val="BodyText"/>
        <w:spacing w:after="0"/>
        <w:ind w:left="1056" w:right="117"/>
        <w:rPr>
          <w:rFonts w:eastAsia="Calibri"/>
          <w:szCs w:val="22"/>
        </w:rPr>
      </w:pPr>
    </w:p>
    <w:p w:rsidR="00E27BBB" w:rsidRPr="000F5C39" w:rsidRDefault="00E27BBB" w:rsidP="00E27BBB">
      <w:pPr>
        <w:pStyle w:val="Paragraph"/>
        <w:numPr>
          <w:ilvl w:val="0"/>
          <w:numId w:val="0"/>
        </w:numPr>
        <w:spacing w:after="0"/>
        <w:ind w:left="1056"/>
        <w:rPr>
          <w:rFonts w:eastAsia="Calibri"/>
        </w:rPr>
      </w:pPr>
      <w:r w:rsidRPr="000F5C39">
        <w:rPr>
          <w:rFonts w:eastAsia="Calibri"/>
        </w:rPr>
        <w:t xml:space="preserve">If the Lead Registrant conducts </w:t>
      </w:r>
      <w:r w:rsidRPr="000F5C39">
        <w:t>studies</w:t>
      </w:r>
      <w:r w:rsidRPr="000F5C39">
        <w:rPr>
          <w:rFonts w:eastAsia="Calibri"/>
        </w:rPr>
        <w:t xml:space="preserve"> not linked to standard REACH requirements but needed in order to defend the Substance before the competent authorities in the interest of all registrants, the related costs will be shared</w:t>
      </w:r>
      <w:r>
        <w:rPr>
          <w:rFonts w:eastAsia="Calibri"/>
        </w:rPr>
        <w:t xml:space="preserve"> in accordance to the rules set out in Sections 1) to 3) above.</w:t>
      </w:r>
    </w:p>
    <w:p w:rsidR="00E27BBB" w:rsidRPr="000F5C39" w:rsidRDefault="00E27BBB" w:rsidP="00E27BBB">
      <w:pPr>
        <w:pStyle w:val="BodyText"/>
        <w:spacing w:after="0"/>
        <w:ind w:left="1419" w:right="117"/>
        <w:rPr>
          <w:rFonts w:eastAsia="Calibri"/>
          <w:szCs w:val="22"/>
        </w:rPr>
      </w:pPr>
    </w:p>
    <w:p w:rsidR="00E27BBB" w:rsidRPr="000F5C39" w:rsidRDefault="00E27BBB" w:rsidP="00E27BBB">
      <w:pPr>
        <w:pStyle w:val="BodyText"/>
        <w:numPr>
          <w:ilvl w:val="1"/>
          <w:numId w:val="27"/>
        </w:numPr>
        <w:tabs>
          <w:tab w:val="clear" w:pos="0"/>
          <w:tab w:val="clear" w:pos="1246"/>
          <w:tab w:val="clear" w:pos="1870"/>
          <w:tab w:val="clear" w:pos="2493"/>
          <w:tab w:val="clear" w:pos="3117"/>
          <w:tab w:val="clear" w:pos="3741"/>
          <w:tab w:val="clear" w:pos="4364"/>
          <w:tab w:val="clear" w:pos="4988"/>
          <w:tab w:val="clear" w:pos="5612"/>
          <w:tab w:val="clear" w:pos="6235"/>
          <w:tab w:val="clear" w:pos="6859"/>
          <w:tab w:val="clear" w:pos="7483"/>
          <w:tab w:val="clear" w:pos="8106"/>
        </w:tabs>
        <w:spacing w:after="0"/>
        <w:ind w:left="2496" w:right="117"/>
        <w:jc w:val="left"/>
        <w:rPr>
          <w:b/>
          <w:szCs w:val="22"/>
        </w:rPr>
      </w:pPr>
      <w:r w:rsidRPr="000F5C39">
        <w:rPr>
          <w:b/>
          <w:szCs w:val="22"/>
        </w:rPr>
        <w:t>Cost sharing following an evaluation decision</w:t>
      </w:r>
    </w:p>
    <w:p w:rsidR="00E27BBB" w:rsidRPr="000F5C39" w:rsidRDefault="00E27BBB" w:rsidP="00E27BBB">
      <w:pPr>
        <w:autoSpaceDE w:val="0"/>
        <w:autoSpaceDN w:val="0"/>
        <w:adjustRightInd w:val="0"/>
        <w:ind w:left="1056"/>
      </w:pPr>
    </w:p>
    <w:p w:rsidR="00E27BBB" w:rsidRPr="000F5C39" w:rsidRDefault="00E27BBB" w:rsidP="00E27BBB">
      <w:pPr>
        <w:pStyle w:val="Paragraph"/>
        <w:numPr>
          <w:ilvl w:val="0"/>
          <w:numId w:val="0"/>
        </w:numPr>
        <w:spacing w:after="0"/>
        <w:ind w:left="1056"/>
      </w:pPr>
      <w:r w:rsidRPr="000F5C39">
        <w:t xml:space="preserve">The evaluation of the registration dossier according to Title VI REACH may trigger new requirements (e.g. generation of new data) which would need to be addressed among registrants. Hence data and cost sharing obligations also apply to the studies which will be needed to ensure that the registration is compliant with REACH requirements. </w:t>
      </w:r>
    </w:p>
    <w:p w:rsidR="00E27BBB" w:rsidRPr="000F5C39" w:rsidRDefault="00E27BBB" w:rsidP="00E27BBB">
      <w:pPr>
        <w:pStyle w:val="BodyText"/>
        <w:spacing w:after="0"/>
        <w:ind w:left="1779" w:right="117"/>
        <w:rPr>
          <w:szCs w:val="22"/>
        </w:rPr>
      </w:pPr>
    </w:p>
    <w:p w:rsidR="00E27BBB" w:rsidRPr="000F5C39" w:rsidRDefault="00E27BBB" w:rsidP="00E27BBB">
      <w:pPr>
        <w:pStyle w:val="ListParagraph"/>
        <w:numPr>
          <w:ilvl w:val="0"/>
          <w:numId w:val="28"/>
        </w:numPr>
        <w:autoSpaceDE w:val="0"/>
        <w:autoSpaceDN w:val="0"/>
        <w:adjustRightInd w:val="0"/>
        <w:spacing w:after="0"/>
        <w:ind w:left="2136"/>
        <w:contextualSpacing w:val="0"/>
        <w:rPr>
          <w:lang w:val="en-US"/>
        </w:rPr>
      </w:pPr>
      <w:r w:rsidRPr="000F5C39">
        <w:rPr>
          <w:lang w:val="en-US"/>
        </w:rPr>
        <w:t>Data costs that can be linked to standard REACH endpoints will be calculated according to the rules set out in 1.) – 3.)  above and shared among registrants based on their tonnage band requirements.</w:t>
      </w:r>
    </w:p>
    <w:p w:rsidR="00E27BBB" w:rsidRPr="000F5C39" w:rsidRDefault="00E27BBB" w:rsidP="00B25C1A">
      <w:pPr>
        <w:pStyle w:val="ListParagraph"/>
        <w:numPr>
          <w:ilvl w:val="0"/>
          <w:numId w:val="0"/>
        </w:numPr>
        <w:ind w:left="2136"/>
        <w:rPr>
          <w:b/>
          <w:u w:val="single"/>
          <w:lang w:val="en-US"/>
        </w:rPr>
      </w:pPr>
    </w:p>
    <w:p w:rsidR="00E27BBB" w:rsidRDefault="00E27BBB" w:rsidP="00E27BBB">
      <w:pPr>
        <w:pStyle w:val="ListParagraph"/>
        <w:numPr>
          <w:ilvl w:val="0"/>
          <w:numId w:val="28"/>
        </w:numPr>
        <w:spacing w:after="0"/>
        <w:ind w:left="2136"/>
        <w:contextualSpacing w:val="0"/>
        <w:rPr>
          <w:lang w:val="en-US"/>
        </w:rPr>
      </w:pPr>
      <w:r w:rsidRPr="000F5C39">
        <w:rPr>
          <w:lang w:val="en-US"/>
        </w:rPr>
        <w:t>Data costs requested by a final decision on Substance Evaluation, according to Title VI REACH,  will be shared according to the rules set out in 1.) – 3.) with the addition</w:t>
      </w:r>
      <w:r>
        <w:rPr>
          <w:lang w:val="en-US"/>
        </w:rPr>
        <w:t xml:space="preserve"> of the following rules:</w:t>
      </w:r>
    </w:p>
    <w:p w:rsidR="00E27BBB" w:rsidRDefault="00E27BBB" w:rsidP="00B25C1A">
      <w:pPr>
        <w:pStyle w:val="ListParagraph"/>
        <w:numPr>
          <w:ilvl w:val="0"/>
          <w:numId w:val="0"/>
        </w:numPr>
        <w:ind w:left="1776"/>
        <w:rPr>
          <w:lang w:val="en-US"/>
        </w:rPr>
      </w:pPr>
    </w:p>
    <w:p w:rsidR="00E27BBB" w:rsidRDefault="00E27BBB" w:rsidP="00E27BBB">
      <w:pPr>
        <w:pStyle w:val="ListParagraph"/>
        <w:numPr>
          <w:ilvl w:val="1"/>
          <w:numId w:val="28"/>
        </w:numPr>
        <w:spacing w:after="0"/>
        <w:ind w:left="2856"/>
        <w:contextualSpacing w:val="0"/>
        <w:rPr>
          <w:lang w:val="en-US"/>
        </w:rPr>
      </w:pPr>
      <w:r>
        <w:rPr>
          <w:lang w:val="en-US"/>
        </w:rPr>
        <w:t xml:space="preserve"> that the costs will be split equally, regardless of the tonnage band of the registration</w:t>
      </w:r>
    </w:p>
    <w:p w:rsidR="00E27BBB" w:rsidRPr="000F5C39" w:rsidRDefault="00E27BBB" w:rsidP="00E27BBB">
      <w:pPr>
        <w:pStyle w:val="ListParagraph"/>
        <w:numPr>
          <w:ilvl w:val="1"/>
          <w:numId w:val="28"/>
        </w:numPr>
        <w:spacing w:after="0"/>
        <w:ind w:left="2856"/>
        <w:contextualSpacing w:val="0"/>
        <w:rPr>
          <w:lang w:val="en-US"/>
        </w:rPr>
      </w:pPr>
      <w:r>
        <w:rPr>
          <w:lang w:val="en-US"/>
        </w:rPr>
        <w:t xml:space="preserve">All legal entities part of the Joint Submission, including affiliates, will pay a share of the costs. </w:t>
      </w:r>
    </w:p>
    <w:p w:rsidR="00E27BBB" w:rsidRPr="000F5C39" w:rsidRDefault="00E27BBB" w:rsidP="00B25C1A">
      <w:pPr>
        <w:pStyle w:val="ListParagraph"/>
        <w:numPr>
          <w:ilvl w:val="0"/>
          <w:numId w:val="0"/>
        </w:numPr>
        <w:ind w:left="2136"/>
        <w:rPr>
          <w:lang w:val="en-US"/>
        </w:rPr>
      </w:pPr>
    </w:p>
    <w:p w:rsidR="00E27BBB" w:rsidRDefault="00E27BBB" w:rsidP="00E27BBB">
      <w:pPr>
        <w:pStyle w:val="ListParagraph"/>
        <w:numPr>
          <w:ilvl w:val="0"/>
          <w:numId w:val="28"/>
        </w:numPr>
        <w:spacing w:after="0"/>
        <w:ind w:left="2136"/>
        <w:contextualSpacing w:val="0"/>
      </w:pPr>
      <w:r w:rsidRPr="00CB6C7D">
        <w:t>Data costs following a final decision of the competent authorities which are not falling under the cases described under i. or ii. above will be shared according to the same rules applicable under ii.</w:t>
      </w:r>
    </w:p>
    <w:p w:rsidR="00E27BBB" w:rsidRPr="000F5C39" w:rsidRDefault="00E27BBB" w:rsidP="00E27BBB">
      <w:pPr>
        <w:spacing w:line="276" w:lineRule="auto"/>
        <w:rPr>
          <w:color w:val="FF0000"/>
        </w:rPr>
      </w:pPr>
    </w:p>
    <w:p w:rsidR="00E27BBB" w:rsidRPr="000F5C39" w:rsidRDefault="00E27BBB" w:rsidP="00E27BBB">
      <w:pPr>
        <w:spacing w:line="276" w:lineRule="auto"/>
        <w:rPr>
          <w:color w:val="FF0000"/>
        </w:rPr>
      </w:pPr>
    </w:p>
    <w:p w:rsidR="00E27BBB" w:rsidRPr="00CB6C7D" w:rsidRDefault="00E27BBB" w:rsidP="00E27BBB">
      <w:pPr>
        <w:numPr>
          <w:ilvl w:val="0"/>
          <w:numId w:val="29"/>
        </w:numPr>
        <w:autoSpaceDE w:val="0"/>
        <w:autoSpaceDN w:val="0"/>
        <w:adjustRightInd w:val="0"/>
        <w:spacing w:after="0"/>
        <w:rPr>
          <w:b/>
          <w:u w:val="single"/>
        </w:rPr>
      </w:pPr>
      <w:r w:rsidRPr="00CB6C7D">
        <w:rPr>
          <w:b/>
          <w:u w:val="single"/>
        </w:rPr>
        <w:t>Invoicing and late payment</w:t>
      </w:r>
    </w:p>
    <w:p w:rsidR="00E27BBB" w:rsidRPr="00CB6C7D" w:rsidRDefault="00E27BBB" w:rsidP="00E27BBB">
      <w:pPr>
        <w:autoSpaceDE w:val="0"/>
        <w:autoSpaceDN w:val="0"/>
        <w:adjustRightInd w:val="0"/>
        <w:spacing w:line="276" w:lineRule="auto"/>
      </w:pPr>
    </w:p>
    <w:p w:rsidR="00E27BBB" w:rsidRPr="00CB6C7D" w:rsidRDefault="00E27BBB" w:rsidP="00E27BBB">
      <w:pPr>
        <w:autoSpaceDE w:val="0"/>
        <w:autoSpaceDN w:val="0"/>
        <w:adjustRightInd w:val="0"/>
        <w:spacing w:line="276" w:lineRule="auto"/>
        <w:rPr>
          <w:b/>
          <w:bCs/>
        </w:rPr>
      </w:pPr>
      <w:r w:rsidRPr="00CB6C7D">
        <w:rPr>
          <w:bCs/>
        </w:rPr>
        <w:t>Upon request, the Non-Lead Member shall provide invoicing details without undue delay, latest within one (1) month of receipt of the request. All invoices from the Lead Registrant to the Non-Lead Member shall be paid</w:t>
      </w:r>
      <w:r w:rsidRPr="00CB6C7D">
        <w:rPr>
          <w:b/>
          <w:bCs/>
        </w:rPr>
        <w:t xml:space="preserve"> </w:t>
      </w:r>
      <w:r w:rsidRPr="00CB6C7D">
        <w:rPr>
          <w:bCs/>
        </w:rPr>
        <w:t xml:space="preserve">within one (1) month of receipt of the invoice. </w:t>
      </w:r>
      <w:r w:rsidRPr="00CB6C7D">
        <w:t xml:space="preserve">The Co-registrant that does not duly and timely pay an invoice issued by the Lead Registrant pursuant to the provisions of this Annex and the SIEF agreement shall pay an interest at the rate of </w:t>
      </w:r>
      <w:r w:rsidRPr="00CB6C7D">
        <w:rPr>
          <w:b/>
        </w:rPr>
        <w:t>8%</w:t>
      </w:r>
      <w:r w:rsidRPr="00CB6C7D">
        <w:t>. Interest shall be calculated daily and shall be payable to the Lead Registrant on demand.</w:t>
      </w:r>
    </w:p>
    <w:p w:rsidR="00E27BBB" w:rsidRPr="00CB6C7D" w:rsidRDefault="00E27BBB" w:rsidP="00E27BBB">
      <w:pPr>
        <w:spacing w:line="276" w:lineRule="auto"/>
      </w:pPr>
    </w:p>
    <w:p w:rsidR="00E27BBB" w:rsidRPr="000F5C39" w:rsidRDefault="00E27BBB" w:rsidP="00E27BBB">
      <w:pPr>
        <w:rPr>
          <w:b/>
          <w:u w:val="single"/>
        </w:rPr>
      </w:pPr>
    </w:p>
    <w:p w:rsidR="00E27BBB" w:rsidRPr="000F5C39" w:rsidRDefault="00E27BBB" w:rsidP="00E27BBB">
      <w:pPr>
        <w:ind w:left="720"/>
        <w:rPr>
          <w:color w:val="FF0000"/>
        </w:rPr>
      </w:pPr>
    </w:p>
    <w:p w:rsidR="00E27BBB" w:rsidRPr="000F5C39" w:rsidRDefault="00E27BBB" w:rsidP="00E27BBB"/>
    <w:p w:rsidR="00E27BBB" w:rsidRPr="000F5C39" w:rsidRDefault="00E27BBB" w:rsidP="00E27BBB">
      <w:r w:rsidRPr="000F5C39">
        <w:t xml:space="preserve"> </w:t>
      </w:r>
    </w:p>
    <w:p w:rsidR="00E27BBB" w:rsidRPr="000F5C39" w:rsidRDefault="00E27BBB" w:rsidP="00E27BBB">
      <w:pPr>
        <w:ind w:left="1080"/>
      </w:pPr>
    </w:p>
    <w:p w:rsidR="00B52DB0" w:rsidRDefault="00B52DB0"/>
    <w:sectPr w:rsidR="00B52DB0">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53F4A7" w16cid:durableId="2315D2E5"/>
  <w16cid:commentId w16cid:paraId="364CC3A1" w16cid:durableId="2315D2E6"/>
  <w16cid:commentId w16cid:paraId="1A6AE78F" w16cid:durableId="2315D2E7"/>
  <w16cid:commentId w16cid:paraId="6B5CAC5D" w16cid:durableId="2315D2E8"/>
  <w16cid:commentId w16cid:paraId="79C1521C" w16cid:durableId="2315D2E9"/>
  <w16cid:commentId w16cid:paraId="5E65F1FF" w16cid:durableId="2315D2EA"/>
  <w16cid:commentId w16cid:paraId="3A68B4B1" w16cid:durableId="2315D2EB"/>
  <w16cid:commentId w16cid:paraId="482D6D25" w16cid:durableId="2315D2EC"/>
  <w16cid:commentId w16cid:paraId="12A54842" w16cid:durableId="2315D2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87C" w:rsidRDefault="00C1087C" w:rsidP="001B5873">
      <w:pPr>
        <w:spacing w:after="0"/>
      </w:pPr>
      <w:r>
        <w:separator/>
      </w:r>
    </w:p>
  </w:endnote>
  <w:endnote w:type="continuationSeparator" w:id="0">
    <w:p w:rsidR="00C1087C" w:rsidRDefault="00C1087C" w:rsidP="001B58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w:altName w:val="Times New Roman"/>
    <w:charset w:val="00"/>
    <w:family w:val="auto"/>
    <w:pitch w:val="variable"/>
    <w:sig w:usb0="80000027" w:usb1="00000000" w:usb2="00000000" w:usb3="00000000" w:csb0="00000001" w:csb1="00000000"/>
  </w:font>
  <w:font w:name="DIN-Regular">
    <w:altName w:val="Courier New"/>
    <w:charset w:val="00"/>
    <w:family w:val="auto"/>
    <w:pitch w:val="variable"/>
    <w:sig w:usb0="03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PHBME+TimesNewRoman,Bold">
    <w:altName w:val="Times New Roman"/>
    <w:panose1 w:val="00000000000000000000"/>
    <w:charset w:val="00"/>
    <w:family w:val="roman"/>
    <w:notTrueType/>
    <w:pitch w:val="default"/>
    <w:sig w:usb0="00000003" w:usb1="00000000" w:usb2="00000000" w:usb3="00000000" w:csb0="00000001" w:csb1="00000000"/>
  </w:font>
  <w:font w:name="HPHBME+TimesNewRoman">
    <w:altName w:val="Times New Roman"/>
    <w:charset w:val="00"/>
    <w:family w:val="roman"/>
    <w:pitch w:val="default"/>
  </w:font>
  <w:font w:name="Andale Sans UI">
    <w:charset w:val="00"/>
    <w:family w:val="auto"/>
    <w:pitch w:val="variable"/>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87C" w:rsidRDefault="00C1087C" w:rsidP="001B5873">
      <w:pPr>
        <w:spacing w:after="0"/>
      </w:pPr>
      <w:r>
        <w:separator/>
      </w:r>
    </w:p>
  </w:footnote>
  <w:footnote w:type="continuationSeparator" w:id="0">
    <w:p w:rsidR="00C1087C" w:rsidRDefault="00C1087C" w:rsidP="001B58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F74381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1" w15:restartNumberingAfterBreak="0">
    <w:nsid w:val="004A4C24"/>
    <w:multiLevelType w:val="hybridMultilevel"/>
    <w:tmpl w:val="2AA42D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B5697"/>
    <w:multiLevelType w:val="hybridMultilevel"/>
    <w:tmpl w:val="36ACB022"/>
    <w:lvl w:ilvl="0" w:tplc="0409001B">
      <w:start w:val="1"/>
      <w:numFmt w:val="lowerRoman"/>
      <w:lvlText w:val="%1."/>
      <w:lvlJc w:val="right"/>
      <w:pPr>
        <w:ind w:left="1080" w:hanging="360"/>
      </w:pPr>
      <w:rPr>
        <w:rFonts w:hint="default"/>
      </w:r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 w15:restartNumberingAfterBreak="0">
    <w:nsid w:val="05BC2FA3"/>
    <w:multiLevelType w:val="hybridMultilevel"/>
    <w:tmpl w:val="7940208C"/>
    <w:lvl w:ilvl="0" w:tplc="0409001B">
      <w:start w:val="1"/>
      <w:numFmt w:val="lowerRoman"/>
      <w:lvlText w:val="%1."/>
      <w:lvlJc w:val="right"/>
      <w:pPr>
        <w:ind w:left="2122" w:hanging="706"/>
      </w:pPr>
      <w:rPr>
        <w:rFonts w:hint="default"/>
        <w:spacing w:val="-1"/>
        <w:w w:val="100"/>
        <w:sz w:val="22"/>
        <w:szCs w:val="22"/>
      </w:rPr>
    </w:lvl>
    <w:lvl w:ilvl="1" w:tplc="EE5A90F0">
      <w:start w:val="1"/>
      <w:numFmt w:val="bullet"/>
      <w:lvlText w:val="•"/>
      <w:lvlJc w:val="left"/>
      <w:pPr>
        <w:ind w:left="2968" w:hanging="706"/>
      </w:pPr>
      <w:rPr>
        <w:rFonts w:hint="default"/>
      </w:rPr>
    </w:lvl>
    <w:lvl w:ilvl="2" w:tplc="ADD07E12">
      <w:start w:val="1"/>
      <w:numFmt w:val="bullet"/>
      <w:lvlText w:val="•"/>
      <w:lvlJc w:val="left"/>
      <w:pPr>
        <w:ind w:left="3817" w:hanging="706"/>
      </w:pPr>
      <w:rPr>
        <w:rFonts w:hint="default"/>
      </w:rPr>
    </w:lvl>
    <w:lvl w:ilvl="3" w:tplc="F6B65EDA">
      <w:start w:val="1"/>
      <w:numFmt w:val="bullet"/>
      <w:lvlText w:val="•"/>
      <w:lvlJc w:val="left"/>
      <w:pPr>
        <w:ind w:left="4665" w:hanging="706"/>
      </w:pPr>
      <w:rPr>
        <w:rFonts w:hint="default"/>
      </w:rPr>
    </w:lvl>
    <w:lvl w:ilvl="4" w:tplc="59906596">
      <w:start w:val="1"/>
      <w:numFmt w:val="bullet"/>
      <w:lvlText w:val="•"/>
      <w:lvlJc w:val="left"/>
      <w:pPr>
        <w:ind w:left="5514" w:hanging="706"/>
      </w:pPr>
      <w:rPr>
        <w:rFonts w:hint="default"/>
      </w:rPr>
    </w:lvl>
    <w:lvl w:ilvl="5" w:tplc="9F3C66FE">
      <w:start w:val="1"/>
      <w:numFmt w:val="bullet"/>
      <w:lvlText w:val="•"/>
      <w:lvlJc w:val="left"/>
      <w:pPr>
        <w:ind w:left="6363" w:hanging="706"/>
      </w:pPr>
      <w:rPr>
        <w:rFonts w:hint="default"/>
      </w:rPr>
    </w:lvl>
    <w:lvl w:ilvl="6" w:tplc="B35C419E">
      <w:start w:val="1"/>
      <w:numFmt w:val="bullet"/>
      <w:lvlText w:val="•"/>
      <w:lvlJc w:val="left"/>
      <w:pPr>
        <w:ind w:left="7211" w:hanging="706"/>
      </w:pPr>
      <w:rPr>
        <w:rFonts w:hint="default"/>
      </w:rPr>
    </w:lvl>
    <w:lvl w:ilvl="7" w:tplc="B10453A0">
      <w:start w:val="1"/>
      <w:numFmt w:val="bullet"/>
      <w:lvlText w:val="•"/>
      <w:lvlJc w:val="left"/>
      <w:pPr>
        <w:ind w:left="8060" w:hanging="706"/>
      </w:pPr>
      <w:rPr>
        <w:rFonts w:hint="default"/>
      </w:rPr>
    </w:lvl>
    <w:lvl w:ilvl="8" w:tplc="8C646E64">
      <w:start w:val="1"/>
      <w:numFmt w:val="bullet"/>
      <w:lvlText w:val="•"/>
      <w:lvlJc w:val="left"/>
      <w:pPr>
        <w:ind w:left="8909" w:hanging="706"/>
      </w:pPr>
      <w:rPr>
        <w:rFonts w:hint="default"/>
      </w:rPr>
    </w:lvl>
  </w:abstractNum>
  <w:abstractNum w:abstractNumId="4" w15:restartNumberingAfterBreak="0">
    <w:nsid w:val="0A6F6894"/>
    <w:multiLevelType w:val="hybridMultilevel"/>
    <w:tmpl w:val="A0601DFE"/>
    <w:lvl w:ilvl="0" w:tplc="1AD4AC56">
      <w:start w:val="1"/>
      <w:numFmt w:val="lowerLetter"/>
      <w:pStyle w:val="Lettered"/>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AA45666"/>
    <w:multiLevelType w:val="hybridMultilevel"/>
    <w:tmpl w:val="558C6412"/>
    <w:lvl w:ilvl="0" w:tplc="8E721FC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4951EE"/>
    <w:multiLevelType w:val="hybridMultilevel"/>
    <w:tmpl w:val="12C67DE0"/>
    <w:lvl w:ilvl="0" w:tplc="3904CD3E">
      <w:start w:val="1"/>
      <w:numFmt w:val="decimal"/>
      <w:lvlText w:val="%1."/>
      <w:lvlJc w:val="left"/>
      <w:pPr>
        <w:ind w:left="118" w:hanging="245"/>
      </w:pPr>
      <w:rPr>
        <w:rFonts w:ascii="Arial" w:eastAsia="Arial" w:hAnsi="Arial" w:hint="default"/>
        <w:w w:val="99"/>
        <w:sz w:val="22"/>
        <w:szCs w:val="22"/>
      </w:rPr>
    </w:lvl>
    <w:lvl w:ilvl="1" w:tplc="3F5AB33E">
      <w:start w:val="1"/>
      <w:numFmt w:val="lowerLetter"/>
      <w:lvlText w:val="%2)"/>
      <w:lvlJc w:val="left"/>
      <w:pPr>
        <w:ind w:left="838" w:hanging="361"/>
      </w:pPr>
      <w:rPr>
        <w:rFonts w:ascii="Arial" w:eastAsia="Arial" w:hAnsi="Arial" w:hint="default"/>
        <w:w w:val="99"/>
        <w:sz w:val="22"/>
        <w:szCs w:val="22"/>
      </w:rPr>
    </w:lvl>
    <w:lvl w:ilvl="2" w:tplc="D97E4C5E">
      <w:start w:val="1"/>
      <w:numFmt w:val="bullet"/>
      <w:lvlText w:val="•"/>
      <w:lvlJc w:val="left"/>
      <w:pPr>
        <w:ind w:left="838" w:hanging="361"/>
      </w:pPr>
      <w:rPr>
        <w:rFonts w:hint="default"/>
      </w:rPr>
    </w:lvl>
    <w:lvl w:ilvl="3" w:tplc="3F4EE186">
      <w:start w:val="1"/>
      <w:numFmt w:val="bullet"/>
      <w:lvlText w:val="•"/>
      <w:lvlJc w:val="left"/>
      <w:pPr>
        <w:ind w:left="1896" w:hanging="361"/>
      </w:pPr>
      <w:rPr>
        <w:rFonts w:hint="default"/>
      </w:rPr>
    </w:lvl>
    <w:lvl w:ilvl="4" w:tplc="6BE8124C">
      <w:start w:val="1"/>
      <w:numFmt w:val="bullet"/>
      <w:lvlText w:val="•"/>
      <w:lvlJc w:val="left"/>
      <w:pPr>
        <w:ind w:left="2954" w:hanging="361"/>
      </w:pPr>
      <w:rPr>
        <w:rFonts w:hint="default"/>
      </w:rPr>
    </w:lvl>
    <w:lvl w:ilvl="5" w:tplc="5B7878E6">
      <w:start w:val="1"/>
      <w:numFmt w:val="bullet"/>
      <w:lvlText w:val="•"/>
      <w:lvlJc w:val="left"/>
      <w:pPr>
        <w:ind w:left="4013" w:hanging="361"/>
      </w:pPr>
      <w:rPr>
        <w:rFonts w:hint="default"/>
      </w:rPr>
    </w:lvl>
    <w:lvl w:ilvl="6" w:tplc="82A224B8">
      <w:start w:val="1"/>
      <w:numFmt w:val="bullet"/>
      <w:lvlText w:val="•"/>
      <w:lvlJc w:val="left"/>
      <w:pPr>
        <w:ind w:left="5071" w:hanging="361"/>
      </w:pPr>
      <w:rPr>
        <w:rFonts w:hint="default"/>
      </w:rPr>
    </w:lvl>
    <w:lvl w:ilvl="7" w:tplc="F9B8AF94">
      <w:start w:val="1"/>
      <w:numFmt w:val="bullet"/>
      <w:lvlText w:val="•"/>
      <w:lvlJc w:val="left"/>
      <w:pPr>
        <w:ind w:left="6129" w:hanging="361"/>
      </w:pPr>
      <w:rPr>
        <w:rFonts w:hint="default"/>
      </w:rPr>
    </w:lvl>
    <w:lvl w:ilvl="8" w:tplc="70E8E522">
      <w:start w:val="1"/>
      <w:numFmt w:val="bullet"/>
      <w:lvlText w:val="•"/>
      <w:lvlJc w:val="left"/>
      <w:pPr>
        <w:ind w:left="7187" w:hanging="361"/>
      </w:pPr>
      <w:rPr>
        <w:rFonts w:hint="default"/>
      </w:rPr>
    </w:lvl>
  </w:abstractNum>
  <w:abstractNum w:abstractNumId="7" w15:restartNumberingAfterBreak="0">
    <w:nsid w:val="1EFD7F60"/>
    <w:multiLevelType w:val="multilevel"/>
    <w:tmpl w:val="8CE25B66"/>
    <w:lvl w:ilvl="0">
      <w:start w:val="1"/>
      <w:numFmt w:val="upperRoman"/>
      <w:lvlText w:val="Article %1"/>
      <w:lvlJc w:val="left"/>
      <w:pPr>
        <w:ind w:left="360" w:hanging="360"/>
      </w:pPr>
      <w:rPr>
        <w:rFonts w:hint="default"/>
        <w:u w:val="single"/>
      </w:rPr>
    </w:lvl>
    <w:lvl w:ilvl="1">
      <w:start w:val="1"/>
      <w:numFmt w:val="decimal"/>
      <w:isLg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3C21261"/>
    <w:multiLevelType w:val="hybridMultilevel"/>
    <w:tmpl w:val="98403D34"/>
    <w:lvl w:ilvl="0" w:tplc="08090019">
      <w:start w:val="1"/>
      <w:numFmt w:val="lowerLetter"/>
      <w:lvlText w:val="%1."/>
      <w:lvlJc w:val="left"/>
      <w:pPr>
        <w:ind w:left="360" w:hanging="360"/>
      </w:pPr>
      <w:rPr>
        <w:rFonts w:hint="default"/>
        <w:w w:val="99"/>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69969CE"/>
    <w:multiLevelType w:val="hybridMultilevel"/>
    <w:tmpl w:val="578CFC4C"/>
    <w:lvl w:ilvl="0" w:tplc="100ABC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3763BC"/>
    <w:multiLevelType w:val="multilevel"/>
    <w:tmpl w:val="CB1202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0966E1C"/>
    <w:multiLevelType w:val="hybridMultilevel"/>
    <w:tmpl w:val="1D04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A12FD5"/>
    <w:multiLevelType w:val="hybridMultilevel"/>
    <w:tmpl w:val="903A6636"/>
    <w:lvl w:ilvl="0" w:tplc="0409001B">
      <w:start w:val="1"/>
      <w:numFmt w:val="lowerRoman"/>
      <w:lvlText w:val="%1."/>
      <w:lvlJc w:val="right"/>
      <w:pPr>
        <w:ind w:left="2136" w:hanging="360"/>
      </w:pPr>
      <w:rPr>
        <w:rFonts w:hint="default"/>
      </w:r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13" w15:restartNumberingAfterBreak="0">
    <w:nsid w:val="433D428D"/>
    <w:multiLevelType w:val="hybridMultilevel"/>
    <w:tmpl w:val="61F6B034"/>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4F8568C3"/>
    <w:multiLevelType w:val="hybridMultilevel"/>
    <w:tmpl w:val="710A1EB0"/>
    <w:lvl w:ilvl="0" w:tplc="040C0017">
      <w:start w:val="1"/>
      <w:numFmt w:val="lowerLetter"/>
      <w:lvlText w:val="%1)"/>
      <w:lvlJc w:val="left"/>
      <w:pPr>
        <w:tabs>
          <w:tab w:val="num" w:pos="720"/>
        </w:tabs>
        <w:ind w:left="720" w:hanging="360"/>
      </w:pPr>
      <w:rPr>
        <w:rFonts w:hint="default"/>
      </w:rPr>
    </w:lvl>
    <w:lvl w:ilvl="1" w:tplc="B71055D6">
      <w:start w:val="3"/>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54C002CD"/>
    <w:multiLevelType w:val="hybridMultilevel"/>
    <w:tmpl w:val="1FD4503E"/>
    <w:lvl w:ilvl="0" w:tplc="2F8C8F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51E51"/>
    <w:multiLevelType w:val="hybridMultilevel"/>
    <w:tmpl w:val="8D683162"/>
    <w:lvl w:ilvl="0" w:tplc="223A7896">
      <w:start w:val="6"/>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DD39C7"/>
    <w:multiLevelType w:val="multilevel"/>
    <w:tmpl w:val="82A80DF2"/>
    <w:lvl w:ilvl="0">
      <w:start w:val="1"/>
      <w:numFmt w:val="upperRoman"/>
      <w:pStyle w:val="Heading2"/>
      <w:lvlText w:val="Article %1"/>
      <w:lvlJc w:val="left"/>
      <w:pPr>
        <w:ind w:left="360" w:hanging="360"/>
      </w:pPr>
      <w:rPr>
        <w:rFonts w:hint="default"/>
        <w:u w:val="single"/>
      </w:rPr>
    </w:lvl>
    <w:lvl w:ilvl="1">
      <w:start w:val="1"/>
      <w:numFmt w:val="decimal"/>
      <w:pStyle w:val="Paragraph"/>
      <w:isLg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DF65EB7"/>
    <w:multiLevelType w:val="hybridMultilevel"/>
    <w:tmpl w:val="54F6D9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BC282F"/>
    <w:multiLevelType w:val="hybridMultilevel"/>
    <w:tmpl w:val="242047A6"/>
    <w:lvl w:ilvl="0" w:tplc="0F84A53E">
      <w:start w:val="1"/>
      <w:numFmt w:val="decimal"/>
      <w:lvlText w:val="%1."/>
      <w:lvlJc w:val="left"/>
      <w:pPr>
        <w:ind w:left="360" w:hanging="360"/>
      </w:pPr>
      <w:rPr>
        <w:rFonts w:ascii="Arial" w:eastAsia="Arial" w:hAnsi="Arial" w:hint="default"/>
        <w:w w:val="99"/>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FA0410F"/>
    <w:multiLevelType w:val="hybridMultilevel"/>
    <w:tmpl w:val="4A2CEF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214676"/>
    <w:multiLevelType w:val="hybridMultilevel"/>
    <w:tmpl w:val="4BC679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DD7F0C"/>
    <w:multiLevelType w:val="hybridMultilevel"/>
    <w:tmpl w:val="BFD0202A"/>
    <w:lvl w:ilvl="0" w:tplc="523A004C">
      <w:start w:val="1"/>
      <w:numFmt w:val="lowerLetter"/>
      <w:pStyle w:val="ListParagraph"/>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154314"/>
    <w:multiLevelType w:val="hybridMultilevel"/>
    <w:tmpl w:val="30709566"/>
    <w:lvl w:ilvl="0" w:tplc="08090019">
      <w:start w:val="1"/>
      <w:numFmt w:val="lowerLetter"/>
      <w:lvlText w:val="%1."/>
      <w:lvlJc w:val="left"/>
      <w:pPr>
        <w:ind w:left="360" w:hanging="360"/>
      </w:pPr>
      <w:rPr>
        <w:rFonts w:hint="default"/>
        <w:w w:val="99"/>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79F592B"/>
    <w:multiLevelType w:val="hybridMultilevel"/>
    <w:tmpl w:val="1B5C1C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4"/>
  </w:num>
  <w:num w:numId="4">
    <w:abstractNumId w:val="6"/>
  </w:num>
  <w:num w:numId="5">
    <w:abstractNumId w:val="16"/>
  </w:num>
  <w:num w:numId="6">
    <w:abstractNumId w:val="11"/>
  </w:num>
  <w:num w:numId="7">
    <w:abstractNumId w:val="5"/>
  </w:num>
  <w:num w:numId="8">
    <w:abstractNumId w:val="9"/>
  </w:num>
  <w:num w:numId="9">
    <w:abstractNumId w:val="20"/>
  </w:num>
  <w:num w:numId="10">
    <w:abstractNumId w:val="19"/>
  </w:num>
  <w:num w:numId="11">
    <w:abstractNumId w:val="23"/>
  </w:num>
  <w:num w:numId="12">
    <w:abstractNumId w:val="8"/>
  </w:num>
  <w:num w:numId="13">
    <w:abstractNumId w:val="7"/>
  </w:num>
  <w:num w:numId="14">
    <w:abstractNumId w:val="17"/>
    <w:lvlOverride w:ilvl="0">
      <w:lvl w:ilvl="0">
        <w:start w:val="1"/>
        <w:numFmt w:val="upperRoman"/>
        <w:pStyle w:val="Heading2"/>
        <w:lvlText w:val="Article %1"/>
        <w:lvlJc w:val="left"/>
        <w:pPr>
          <w:ind w:left="360" w:hanging="360"/>
        </w:pPr>
        <w:rPr>
          <w:rFonts w:hint="default"/>
          <w:u w:val="single"/>
        </w:rPr>
      </w:lvl>
    </w:lvlOverride>
    <w:lvlOverride w:ilvl="1">
      <w:lvl w:ilvl="1">
        <w:start w:val="1"/>
        <w:numFmt w:val="decimal"/>
        <w:pStyle w:val="Paragraph"/>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2"/>
  </w:num>
  <w:num w:numId="16">
    <w:abstractNumId w:val="22"/>
    <w:lvlOverride w:ilvl="0">
      <w:startOverride w:val="1"/>
    </w:lvlOverride>
  </w:num>
  <w:num w:numId="17">
    <w:abstractNumId w:val="22"/>
    <w:lvlOverride w:ilvl="0">
      <w:startOverride w:val="1"/>
    </w:lvlOverride>
  </w:num>
  <w:num w:numId="18">
    <w:abstractNumId w:val="22"/>
    <w:lvlOverride w:ilvl="0">
      <w:startOverride w:val="1"/>
    </w:lvlOverride>
  </w:num>
  <w:num w:numId="19">
    <w:abstractNumId w:val="22"/>
    <w:lvlOverride w:ilvl="0">
      <w:startOverride w:val="1"/>
    </w:lvlOverride>
  </w:num>
  <w:num w:numId="20">
    <w:abstractNumId w:val="22"/>
    <w:lvlOverride w:ilvl="0">
      <w:startOverride w:val="1"/>
    </w:lvlOverride>
  </w:num>
  <w:num w:numId="21">
    <w:abstractNumId w:val="22"/>
    <w:lvlOverride w:ilvl="0">
      <w:startOverride w:val="1"/>
    </w:lvlOverride>
  </w:num>
  <w:num w:numId="22">
    <w:abstractNumId w:val="22"/>
    <w:lvlOverride w:ilvl="0">
      <w:startOverride w:val="1"/>
    </w:lvlOverride>
  </w:num>
  <w:num w:numId="23">
    <w:abstractNumId w:val="14"/>
  </w:num>
  <w:num w:numId="24">
    <w:abstractNumId w:val="13"/>
  </w:num>
  <w:num w:numId="25">
    <w:abstractNumId w:val="10"/>
  </w:num>
  <w:num w:numId="26">
    <w:abstractNumId w:val="22"/>
  </w:num>
  <w:num w:numId="27">
    <w:abstractNumId w:val="18"/>
  </w:num>
  <w:num w:numId="28">
    <w:abstractNumId w:val="2"/>
  </w:num>
  <w:num w:numId="29">
    <w:abstractNumId w:val="24"/>
  </w:num>
  <w:num w:numId="30">
    <w:abstractNumId w:val="1"/>
  </w:num>
  <w:num w:numId="31">
    <w:abstractNumId w:val="15"/>
  </w:num>
  <w:num w:numId="32">
    <w:abstractNumId w:val="12"/>
  </w:num>
  <w:num w:numId="33">
    <w:abstractNumId w:val="3"/>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A7E"/>
    <w:rsid w:val="000075C4"/>
    <w:rsid w:val="00085CAA"/>
    <w:rsid w:val="000F53F3"/>
    <w:rsid w:val="001428ED"/>
    <w:rsid w:val="00164842"/>
    <w:rsid w:val="001B5873"/>
    <w:rsid w:val="00281D05"/>
    <w:rsid w:val="0030601B"/>
    <w:rsid w:val="003565C9"/>
    <w:rsid w:val="004247CD"/>
    <w:rsid w:val="00472503"/>
    <w:rsid w:val="004A5810"/>
    <w:rsid w:val="004E448B"/>
    <w:rsid w:val="005242CF"/>
    <w:rsid w:val="0059019C"/>
    <w:rsid w:val="006421CB"/>
    <w:rsid w:val="006F449D"/>
    <w:rsid w:val="006F5102"/>
    <w:rsid w:val="00785921"/>
    <w:rsid w:val="007E7E70"/>
    <w:rsid w:val="00805BAA"/>
    <w:rsid w:val="008137A4"/>
    <w:rsid w:val="0085006E"/>
    <w:rsid w:val="00855EF7"/>
    <w:rsid w:val="008627F7"/>
    <w:rsid w:val="008C4C39"/>
    <w:rsid w:val="008E7264"/>
    <w:rsid w:val="009466AB"/>
    <w:rsid w:val="00994A7E"/>
    <w:rsid w:val="00A61966"/>
    <w:rsid w:val="00A9084C"/>
    <w:rsid w:val="00AD0816"/>
    <w:rsid w:val="00B25C1A"/>
    <w:rsid w:val="00B32599"/>
    <w:rsid w:val="00B47766"/>
    <w:rsid w:val="00B52DB0"/>
    <w:rsid w:val="00C05390"/>
    <w:rsid w:val="00C1087C"/>
    <w:rsid w:val="00C31CB2"/>
    <w:rsid w:val="00C53B53"/>
    <w:rsid w:val="00CB3EF0"/>
    <w:rsid w:val="00D26407"/>
    <w:rsid w:val="00D27842"/>
    <w:rsid w:val="00D5000F"/>
    <w:rsid w:val="00D75823"/>
    <w:rsid w:val="00D84361"/>
    <w:rsid w:val="00DB5332"/>
    <w:rsid w:val="00E262B1"/>
    <w:rsid w:val="00E27BBB"/>
    <w:rsid w:val="00EA27C5"/>
    <w:rsid w:val="00F14BA8"/>
    <w:rsid w:val="00F15085"/>
    <w:rsid w:val="00F85E65"/>
    <w:rsid w:val="00FB45D0"/>
    <w:rsid w:val="00FE50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0F717034-ADE6-4A95-BC9A-446E9EC8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A7E"/>
    <w:pPr>
      <w:spacing w:after="240" w:line="240" w:lineRule="auto"/>
      <w:jc w:val="both"/>
    </w:pPr>
    <w:rPr>
      <w:rFonts w:ascii="Arial" w:eastAsia="Times New Roman" w:hAnsi="Arial" w:cs="Arial"/>
      <w:lang w:val="en-GB"/>
    </w:rPr>
  </w:style>
  <w:style w:type="paragraph" w:styleId="Heading1">
    <w:name w:val="heading 1"/>
    <w:aliases w:val="Capitals"/>
    <w:basedOn w:val="Normal"/>
    <w:next w:val="Normal"/>
    <w:link w:val="Heading1Char"/>
    <w:qFormat/>
    <w:rsid w:val="00994A7E"/>
    <w:pPr>
      <w:spacing w:before="240" w:line="240" w:lineRule="exact"/>
      <w:outlineLvl w:val="0"/>
    </w:pPr>
    <w:rPr>
      <w:b/>
    </w:rPr>
  </w:style>
  <w:style w:type="paragraph" w:styleId="Heading2">
    <w:name w:val="heading 2"/>
    <w:aliases w:val="Article"/>
    <w:basedOn w:val="Normal"/>
    <w:next w:val="Normal"/>
    <w:link w:val="Heading2Char"/>
    <w:qFormat/>
    <w:rsid w:val="00994A7E"/>
    <w:pPr>
      <w:keepNext/>
      <w:numPr>
        <w:numId w:val="2"/>
      </w:numPr>
      <w:spacing w:after="120"/>
      <w:ind w:left="357" w:hanging="357"/>
      <w:outlineLvl w:val="1"/>
    </w:pPr>
    <w:rPr>
      <w:b/>
      <w:u w:val="single"/>
    </w:rPr>
  </w:style>
  <w:style w:type="paragraph" w:styleId="Heading3">
    <w:name w:val="heading 3"/>
    <w:basedOn w:val="Normal"/>
    <w:next w:val="Normal"/>
    <w:link w:val="Heading3Char"/>
    <w:qFormat/>
    <w:rsid w:val="00994A7E"/>
    <w:pPr>
      <w:keepNext/>
      <w:ind w:left="1440"/>
      <w:outlineLvl w:val="2"/>
    </w:pPr>
    <w:rPr>
      <w:rFonts w:ascii="DIN" w:hAnsi="DIN"/>
      <w:b/>
      <w:bCs/>
      <w:sz w:val="20"/>
      <w:u w:val="single"/>
    </w:rPr>
  </w:style>
  <w:style w:type="paragraph" w:styleId="Heading4">
    <w:name w:val="heading 4"/>
    <w:basedOn w:val="Normal"/>
    <w:next w:val="Normal"/>
    <w:link w:val="Heading4Char"/>
    <w:rsid w:val="00994A7E"/>
    <w:pPr>
      <w:keepNex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pitals Char"/>
    <w:basedOn w:val="DefaultParagraphFont"/>
    <w:link w:val="Heading1"/>
    <w:rsid w:val="00994A7E"/>
    <w:rPr>
      <w:rFonts w:ascii="Arial" w:eastAsia="Times New Roman" w:hAnsi="Arial" w:cs="Arial"/>
      <w:b/>
      <w:lang w:val="en-GB"/>
    </w:rPr>
  </w:style>
  <w:style w:type="character" w:customStyle="1" w:styleId="Heading2Char">
    <w:name w:val="Heading 2 Char"/>
    <w:aliases w:val="Article Char"/>
    <w:basedOn w:val="DefaultParagraphFont"/>
    <w:link w:val="Heading2"/>
    <w:rsid w:val="00994A7E"/>
    <w:rPr>
      <w:rFonts w:ascii="Arial" w:eastAsia="Times New Roman" w:hAnsi="Arial" w:cs="Arial"/>
      <w:b/>
      <w:u w:val="single"/>
      <w:lang w:val="en-GB"/>
    </w:rPr>
  </w:style>
  <w:style w:type="character" w:customStyle="1" w:styleId="Heading3Char">
    <w:name w:val="Heading 3 Char"/>
    <w:basedOn w:val="DefaultParagraphFont"/>
    <w:link w:val="Heading3"/>
    <w:rsid w:val="00994A7E"/>
    <w:rPr>
      <w:rFonts w:ascii="DIN" w:eastAsia="Times New Roman" w:hAnsi="DIN" w:cs="Arial"/>
      <w:b/>
      <w:bCs/>
      <w:sz w:val="20"/>
      <w:u w:val="single"/>
      <w:lang w:val="en-GB"/>
    </w:rPr>
  </w:style>
  <w:style w:type="character" w:customStyle="1" w:styleId="Heading4Char">
    <w:name w:val="Heading 4 Char"/>
    <w:basedOn w:val="DefaultParagraphFont"/>
    <w:link w:val="Heading4"/>
    <w:rsid w:val="00994A7E"/>
    <w:rPr>
      <w:rFonts w:ascii="Arial" w:eastAsia="Times New Roman" w:hAnsi="Arial" w:cs="Arial"/>
      <w:lang w:val="en-GB"/>
    </w:rPr>
  </w:style>
  <w:style w:type="paragraph" w:styleId="BodyText">
    <w:name w:val="Body Text"/>
    <w:aliases w:val=" Char,Body Text Char2,Body Text Char1 Char,Body Text Char Char Char, Char Char Char Char, Char5 Char Char, Char5 Char1,Body Text Char Char1, Char Char Char1,Char,Char Char Char Char,Char5 Char Char,Char5 Char1,Char Char Char1"/>
    <w:basedOn w:val="Normal"/>
    <w:link w:val="BodyTextChar"/>
    <w:rsid w:val="00994A7E"/>
    <w:pPr>
      <w:widowControl w:val="0"/>
      <w:tabs>
        <w:tab w:val="left" w:pos="0"/>
        <w:tab w:val="left" w:pos="1246"/>
        <w:tab w:val="left" w:pos="1870"/>
        <w:tab w:val="left" w:pos="2493"/>
        <w:tab w:val="left" w:pos="3117"/>
        <w:tab w:val="left" w:pos="3741"/>
        <w:tab w:val="left" w:pos="4364"/>
        <w:tab w:val="left" w:pos="4988"/>
        <w:tab w:val="left" w:pos="5612"/>
        <w:tab w:val="left" w:pos="6235"/>
        <w:tab w:val="left" w:pos="6859"/>
        <w:tab w:val="left" w:pos="7483"/>
        <w:tab w:val="left" w:pos="8106"/>
      </w:tabs>
    </w:pPr>
    <w:rPr>
      <w:szCs w:val="20"/>
    </w:rPr>
  </w:style>
  <w:style w:type="character" w:customStyle="1" w:styleId="BodyTextChar">
    <w:name w:val="Body Text Char"/>
    <w:aliases w:val=" Char Char,Body Text Char2 Char,Body Text Char1 Char Char,Body Text Char Char Char Char, Char Char Char Char Char, Char5 Char Char Char, Char5 Char1 Char,Body Text Char Char1 Char, Char Char Char1 Char,Char Char1,Char Char Char Char Char"/>
    <w:basedOn w:val="DefaultParagraphFont"/>
    <w:link w:val="BodyText"/>
    <w:rsid w:val="00994A7E"/>
    <w:rPr>
      <w:rFonts w:ascii="Arial" w:eastAsia="Times New Roman" w:hAnsi="Arial" w:cs="Arial"/>
      <w:szCs w:val="20"/>
      <w:lang w:val="en-GB"/>
    </w:rPr>
  </w:style>
  <w:style w:type="paragraph" w:styleId="BodyText2">
    <w:name w:val="Body Text 2"/>
    <w:basedOn w:val="Normal"/>
    <w:link w:val="BodyText2Char"/>
    <w:rsid w:val="00994A7E"/>
    <w:pPr>
      <w:widowControl w:val="0"/>
      <w:tabs>
        <w:tab w:val="left" w:pos="0"/>
        <w:tab w:val="left" w:pos="622"/>
        <w:tab w:val="left" w:pos="1246"/>
        <w:tab w:val="left" w:pos="1701"/>
        <w:tab w:val="left" w:pos="2493"/>
        <w:tab w:val="left" w:pos="3117"/>
        <w:tab w:val="left" w:pos="3741"/>
        <w:tab w:val="left" w:pos="4364"/>
        <w:tab w:val="left" w:pos="4988"/>
        <w:tab w:val="left" w:pos="5612"/>
        <w:tab w:val="left" w:pos="6235"/>
        <w:tab w:val="left" w:pos="6859"/>
        <w:tab w:val="left" w:pos="7483"/>
        <w:tab w:val="left" w:pos="8106"/>
      </w:tabs>
      <w:ind w:left="1871" w:hanging="1871"/>
    </w:pPr>
    <w:rPr>
      <w:b/>
      <w:szCs w:val="20"/>
    </w:rPr>
  </w:style>
  <w:style w:type="character" w:customStyle="1" w:styleId="BodyText2Char">
    <w:name w:val="Body Text 2 Char"/>
    <w:basedOn w:val="DefaultParagraphFont"/>
    <w:link w:val="BodyText2"/>
    <w:rsid w:val="00994A7E"/>
    <w:rPr>
      <w:rFonts w:ascii="Arial" w:eastAsia="Times New Roman" w:hAnsi="Arial" w:cs="Arial"/>
      <w:b/>
      <w:szCs w:val="20"/>
      <w:lang w:val="en-GB"/>
    </w:rPr>
  </w:style>
  <w:style w:type="paragraph" w:styleId="Footer">
    <w:name w:val="footer"/>
    <w:basedOn w:val="Normal"/>
    <w:link w:val="FooterChar"/>
    <w:rsid w:val="00994A7E"/>
    <w:pPr>
      <w:tabs>
        <w:tab w:val="center" w:pos="4320"/>
        <w:tab w:val="right" w:pos="8640"/>
      </w:tabs>
    </w:pPr>
  </w:style>
  <w:style w:type="character" w:customStyle="1" w:styleId="FooterChar">
    <w:name w:val="Footer Char"/>
    <w:basedOn w:val="DefaultParagraphFont"/>
    <w:link w:val="Footer"/>
    <w:rsid w:val="00994A7E"/>
    <w:rPr>
      <w:rFonts w:ascii="Arial" w:eastAsia="Times New Roman" w:hAnsi="Arial" w:cs="Arial"/>
      <w:lang w:val="en-GB"/>
    </w:rPr>
  </w:style>
  <w:style w:type="character" w:styleId="PageNumber">
    <w:name w:val="page number"/>
    <w:basedOn w:val="DefaultParagraphFont"/>
    <w:rsid w:val="00994A7E"/>
  </w:style>
  <w:style w:type="character" w:styleId="Hyperlink">
    <w:name w:val="Hyperlink"/>
    <w:rsid w:val="00994A7E"/>
    <w:rPr>
      <w:color w:val="0000FF"/>
      <w:u w:val="single"/>
    </w:rPr>
  </w:style>
  <w:style w:type="paragraph" w:customStyle="1" w:styleId="01-References">
    <w:name w:val="01-References"/>
    <w:basedOn w:val="Normal"/>
    <w:rsid w:val="00994A7E"/>
    <w:rPr>
      <w:rFonts w:ascii="DIN-Regular" w:hAnsi="DIN-Regular"/>
      <w:spacing w:val="4"/>
      <w:sz w:val="20"/>
      <w:szCs w:val="20"/>
      <w:lang w:val="nl-BE"/>
    </w:rPr>
  </w:style>
  <w:style w:type="paragraph" w:styleId="BodyTextIndent2">
    <w:name w:val="Body Text Indent 2"/>
    <w:basedOn w:val="Normal"/>
    <w:link w:val="BodyTextIndent2Char"/>
    <w:rsid w:val="00994A7E"/>
    <w:pPr>
      <w:spacing w:before="100" w:beforeAutospacing="1" w:after="100" w:afterAutospacing="1"/>
      <w:ind w:left="360"/>
    </w:pPr>
    <w:rPr>
      <w:rFonts w:ascii="DIN" w:hAnsi="DIN"/>
      <w:sz w:val="18"/>
      <w:szCs w:val="18"/>
    </w:rPr>
  </w:style>
  <w:style w:type="character" w:customStyle="1" w:styleId="BodyTextIndent2Char">
    <w:name w:val="Body Text Indent 2 Char"/>
    <w:basedOn w:val="DefaultParagraphFont"/>
    <w:link w:val="BodyTextIndent2"/>
    <w:rsid w:val="00994A7E"/>
    <w:rPr>
      <w:rFonts w:ascii="DIN" w:eastAsia="Times New Roman" w:hAnsi="DIN" w:cs="Arial"/>
      <w:sz w:val="18"/>
      <w:szCs w:val="18"/>
      <w:lang w:val="en-GB"/>
    </w:rPr>
  </w:style>
  <w:style w:type="paragraph" w:styleId="BodyTextIndent3">
    <w:name w:val="Body Text Indent 3"/>
    <w:basedOn w:val="Normal"/>
    <w:link w:val="BodyTextIndent3Char"/>
    <w:rsid w:val="00994A7E"/>
    <w:pPr>
      <w:ind w:left="357"/>
    </w:pPr>
    <w:rPr>
      <w:rFonts w:ascii="DIN" w:hAnsi="DIN"/>
      <w:sz w:val="18"/>
      <w:szCs w:val="18"/>
    </w:rPr>
  </w:style>
  <w:style w:type="character" w:customStyle="1" w:styleId="BodyTextIndent3Char">
    <w:name w:val="Body Text Indent 3 Char"/>
    <w:basedOn w:val="DefaultParagraphFont"/>
    <w:link w:val="BodyTextIndent3"/>
    <w:rsid w:val="00994A7E"/>
    <w:rPr>
      <w:rFonts w:ascii="DIN" w:eastAsia="Times New Roman" w:hAnsi="DIN" w:cs="Arial"/>
      <w:sz w:val="18"/>
      <w:szCs w:val="18"/>
      <w:lang w:val="en-GB"/>
    </w:rPr>
  </w:style>
  <w:style w:type="paragraph" w:styleId="BodyTextIndent">
    <w:name w:val="Body Text Indent"/>
    <w:basedOn w:val="Normal"/>
    <w:link w:val="BodyTextIndentChar"/>
    <w:rsid w:val="00994A7E"/>
    <w:pPr>
      <w:tabs>
        <w:tab w:val="left" w:pos="1440"/>
      </w:tabs>
      <w:overflowPunct w:val="0"/>
      <w:autoSpaceDE w:val="0"/>
      <w:autoSpaceDN w:val="0"/>
      <w:adjustRightInd w:val="0"/>
      <w:ind w:left="1440"/>
      <w:textAlignment w:val="baseline"/>
    </w:pPr>
    <w:rPr>
      <w:rFonts w:ascii="Palatino Linotype" w:hAnsi="Palatino Linotype"/>
      <w:color w:val="000000"/>
      <w:szCs w:val="20"/>
    </w:rPr>
  </w:style>
  <w:style w:type="character" w:customStyle="1" w:styleId="BodyTextIndentChar">
    <w:name w:val="Body Text Indent Char"/>
    <w:basedOn w:val="DefaultParagraphFont"/>
    <w:link w:val="BodyTextIndent"/>
    <w:rsid w:val="00994A7E"/>
    <w:rPr>
      <w:rFonts w:ascii="Palatino Linotype" w:eastAsia="Times New Roman" w:hAnsi="Palatino Linotype" w:cs="Arial"/>
      <w:color w:val="000000"/>
      <w:szCs w:val="20"/>
      <w:lang w:val="en-GB"/>
    </w:rPr>
  </w:style>
  <w:style w:type="paragraph" w:styleId="BlockText">
    <w:name w:val="Block Text"/>
    <w:basedOn w:val="Normal"/>
    <w:rsid w:val="00994A7E"/>
    <w:pPr>
      <w:ind w:left="360" w:right="-96"/>
    </w:pPr>
    <w:rPr>
      <w:rFonts w:ascii="DIN" w:hAnsi="DIN"/>
      <w:i/>
      <w:iCs/>
      <w:sz w:val="20"/>
    </w:rPr>
  </w:style>
  <w:style w:type="paragraph" w:styleId="NormalWeb">
    <w:name w:val="Normal (Web)"/>
    <w:basedOn w:val="Normal"/>
    <w:rsid w:val="00994A7E"/>
    <w:pPr>
      <w:spacing w:before="100" w:beforeAutospacing="1" w:after="100" w:afterAutospacing="1"/>
    </w:pPr>
    <w:rPr>
      <w:rFonts w:eastAsia="Arial Unicode MS"/>
      <w:color w:val="666666"/>
      <w:sz w:val="15"/>
      <w:szCs w:val="15"/>
    </w:rPr>
  </w:style>
  <w:style w:type="paragraph" w:styleId="Header">
    <w:name w:val="header"/>
    <w:basedOn w:val="Normal"/>
    <w:link w:val="HeaderChar"/>
    <w:rsid w:val="00994A7E"/>
    <w:pPr>
      <w:tabs>
        <w:tab w:val="center" w:pos="4320"/>
        <w:tab w:val="right" w:pos="8640"/>
      </w:tabs>
    </w:pPr>
  </w:style>
  <w:style w:type="character" w:customStyle="1" w:styleId="HeaderChar">
    <w:name w:val="Header Char"/>
    <w:basedOn w:val="DefaultParagraphFont"/>
    <w:link w:val="Header"/>
    <w:rsid w:val="00994A7E"/>
    <w:rPr>
      <w:rFonts w:ascii="Arial" w:eastAsia="Times New Roman" w:hAnsi="Arial" w:cs="Arial"/>
      <w:lang w:val="en-GB"/>
    </w:rPr>
  </w:style>
  <w:style w:type="paragraph" w:styleId="BalloonText">
    <w:name w:val="Balloon Text"/>
    <w:basedOn w:val="Normal"/>
    <w:link w:val="BalloonTextChar"/>
    <w:semiHidden/>
    <w:rsid w:val="00994A7E"/>
    <w:rPr>
      <w:rFonts w:ascii="Tahoma" w:hAnsi="Tahoma" w:cs="Tahoma"/>
      <w:sz w:val="16"/>
      <w:szCs w:val="16"/>
    </w:rPr>
  </w:style>
  <w:style w:type="character" w:customStyle="1" w:styleId="BalloonTextChar">
    <w:name w:val="Balloon Text Char"/>
    <w:basedOn w:val="DefaultParagraphFont"/>
    <w:link w:val="BalloonText"/>
    <w:semiHidden/>
    <w:rsid w:val="00994A7E"/>
    <w:rPr>
      <w:rFonts w:ascii="Tahoma" w:eastAsia="Times New Roman" w:hAnsi="Tahoma" w:cs="Tahoma"/>
      <w:sz w:val="16"/>
      <w:szCs w:val="16"/>
      <w:lang w:val="en-GB"/>
    </w:rPr>
  </w:style>
  <w:style w:type="character" w:styleId="Emphasis">
    <w:name w:val="Emphasis"/>
    <w:rsid w:val="00994A7E"/>
    <w:rPr>
      <w:i/>
      <w:iCs/>
    </w:rPr>
  </w:style>
  <w:style w:type="paragraph" w:styleId="ListBullet3">
    <w:name w:val="List Bullet 3"/>
    <w:aliases w:val="lb3"/>
    <w:basedOn w:val="Normal"/>
    <w:autoRedefine/>
    <w:rsid w:val="00994A7E"/>
    <w:pPr>
      <w:numPr>
        <w:numId w:val="1"/>
      </w:numPr>
      <w:tabs>
        <w:tab w:val="left" w:pos="1080"/>
      </w:tabs>
    </w:pPr>
  </w:style>
  <w:style w:type="character" w:styleId="CommentReference">
    <w:name w:val="annotation reference"/>
    <w:semiHidden/>
    <w:rsid w:val="00994A7E"/>
    <w:rPr>
      <w:sz w:val="16"/>
      <w:szCs w:val="16"/>
    </w:rPr>
  </w:style>
  <w:style w:type="paragraph" w:styleId="CommentText">
    <w:name w:val="annotation text"/>
    <w:basedOn w:val="Normal"/>
    <w:link w:val="CommentTextChar"/>
    <w:semiHidden/>
    <w:rsid w:val="00994A7E"/>
    <w:rPr>
      <w:sz w:val="20"/>
      <w:szCs w:val="20"/>
    </w:rPr>
  </w:style>
  <w:style w:type="character" w:customStyle="1" w:styleId="CommentTextChar">
    <w:name w:val="Comment Text Char"/>
    <w:basedOn w:val="DefaultParagraphFont"/>
    <w:link w:val="CommentText"/>
    <w:semiHidden/>
    <w:rsid w:val="00994A7E"/>
    <w:rPr>
      <w:rFonts w:ascii="Arial" w:eastAsia="Times New Roman" w:hAnsi="Arial" w:cs="Arial"/>
      <w:sz w:val="20"/>
      <w:szCs w:val="20"/>
      <w:lang w:val="en-GB"/>
    </w:rPr>
  </w:style>
  <w:style w:type="paragraph" w:styleId="CommentSubject">
    <w:name w:val="annotation subject"/>
    <w:basedOn w:val="CommentText"/>
    <w:next w:val="CommentText"/>
    <w:link w:val="CommentSubjectChar"/>
    <w:semiHidden/>
    <w:rsid w:val="00994A7E"/>
    <w:rPr>
      <w:b/>
      <w:bCs/>
    </w:rPr>
  </w:style>
  <w:style w:type="character" w:customStyle="1" w:styleId="CommentSubjectChar">
    <w:name w:val="Comment Subject Char"/>
    <w:basedOn w:val="CommentTextChar"/>
    <w:link w:val="CommentSubject"/>
    <w:semiHidden/>
    <w:rsid w:val="00994A7E"/>
    <w:rPr>
      <w:rFonts w:ascii="Arial" w:eastAsia="Times New Roman" w:hAnsi="Arial" w:cs="Arial"/>
      <w:b/>
      <w:bCs/>
      <w:sz w:val="20"/>
      <w:szCs w:val="20"/>
      <w:lang w:val="en-GB"/>
    </w:rPr>
  </w:style>
  <w:style w:type="table" w:styleId="TableGrid">
    <w:name w:val="Table Grid"/>
    <w:basedOn w:val="TableNormal"/>
    <w:rsid w:val="00994A7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94A7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94A7E"/>
    <w:rPr>
      <w:rFonts w:ascii="Tahoma" w:eastAsia="Times New Roman" w:hAnsi="Tahoma" w:cs="Tahoma"/>
      <w:sz w:val="20"/>
      <w:szCs w:val="20"/>
      <w:shd w:val="clear" w:color="auto" w:fill="000080"/>
      <w:lang w:val="en-GB"/>
    </w:rPr>
  </w:style>
  <w:style w:type="character" w:customStyle="1" w:styleId="joannakarolinawarnel">
    <w:name w:val="joanna karolina warnel"/>
    <w:semiHidden/>
    <w:rsid w:val="00994A7E"/>
    <w:rPr>
      <w:rFonts w:ascii="Arial" w:hAnsi="Arial" w:cs="Arial"/>
      <w:color w:val="auto"/>
      <w:sz w:val="20"/>
      <w:szCs w:val="20"/>
    </w:rPr>
  </w:style>
  <w:style w:type="paragraph" w:customStyle="1" w:styleId="CharChar">
    <w:name w:val="Char Char"/>
    <w:aliases w:val="Char5 Char1 Char"/>
    <w:basedOn w:val="Normal"/>
    <w:rsid w:val="00994A7E"/>
    <w:pPr>
      <w:spacing w:after="160" w:line="240" w:lineRule="exact"/>
    </w:pPr>
    <w:rPr>
      <w:sz w:val="20"/>
      <w:szCs w:val="20"/>
    </w:rPr>
  </w:style>
  <w:style w:type="paragraph" w:styleId="Date">
    <w:name w:val="Date"/>
    <w:basedOn w:val="Normal"/>
    <w:next w:val="Normal"/>
    <w:link w:val="DateChar"/>
    <w:rsid w:val="00994A7E"/>
    <w:pPr>
      <w:spacing w:after="220" w:line="220" w:lineRule="atLeast"/>
    </w:pPr>
    <w:rPr>
      <w:spacing w:val="-5"/>
      <w:sz w:val="20"/>
      <w:szCs w:val="20"/>
    </w:rPr>
  </w:style>
  <w:style w:type="character" w:customStyle="1" w:styleId="DateChar">
    <w:name w:val="Date Char"/>
    <w:basedOn w:val="DefaultParagraphFont"/>
    <w:link w:val="Date"/>
    <w:rsid w:val="00994A7E"/>
    <w:rPr>
      <w:rFonts w:ascii="Arial" w:eastAsia="Times New Roman" w:hAnsi="Arial" w:cs="Arial"/>
      <w:spacing w:val="-5"/>
      <w:sz w:val="20"/>
      <w:szCs w:val="20"/>
      <w:lang w:val="en-GB"/>
    </w:rPr>
  </w:style>
  <w:style w:type="paragraph" w:customStyle="1" w:styleId="ZchnZchn">
    <w:name w:val="Zchn Zchn"/>
    <w:basedOn w:val="Normal"/>
    <w:rsid w:val="00994A7E"/>
    <w:pPr>
      <w:spacing w:after="160" w:line="240" w:lineRule="exact"/>
    </w:pPr>
    <w:rPr>
      <w:sz w:val="20"/>
      <w:szCs w:val="20"/>
    </w:rPr>
  </w:style>
  <w:style w:type="paragraph" w:customStyle="1" w:styleId="Default">
    <w:name w:val="Default"/>
    <w:rsid w:val="00994A7E"/>
    <w:pPr>
      <w:autoSpaceDE w:val="0"/>
      <w:autoSpaceDN w:val="0"/>
      <w:adjustRightInd w:val="0"/>
      <w:spacing w:after="0" w:line="240" w:lineRule="auto"/>
    </w:pPr>
    <w:rPr>
      <w:rFonts w:ascii="Arial" w:eastAsia="Times New Roman" w:hAnsi="Arial" w:cs="Arial"/>
      <w:color w:val="000000"/>
      <w:sz w:val="24"/>
      <w:szCs w:val="24"/>
    </w:rPr>
  </w:style>
  <w:style w:type="paragraph" w:styleId="FootnoteText">
    <w:name w:val="footnote text"/>
    <w:basedOn w:val="Normal"/>
    <w:link w:val="FootnoteTextChar"/>
    <w:rsid w:val="00994A7E"/>
    <w:rPr>
      <w:rFonts w:ascii="Times New Roman" w:hAnsi="Times New Roman"/>
      <w:sz w:val="20"/>
      <w:szCs w:val="20"/>
    </w:rPr>
  </w:style>
  <w:style w:type="character" w:customStyle="1" w:styleId="FootnoteTextChar">
    <w:name w:val="Footnote Text Char"/>
    <w:basedOn w:val="DefaultParagraphFont"/>
    <w:link w:val="FootnoteText"/>
    <w:rsid w:val="00994A7E"/>
    <w:rPr>
      <w:rFonts w:ascii="Times New Roman" w:eastAsia="Times New Roman" w:hAnsi="Times New Roman" w:cs="Arial"/>
      <w:sz w:val="20"/>
      <w:szCs w:val="20"/>
      <w:lang w:val="en-GB"/>
    </w:rPr>
  </w:style>
  <w:style w:type="character" w:styleId="FootnoteReference">
    <w:name w:val="footnote reference"/>
    <w:rsid w:val="00994A7E"/>
    <w:rPr>
      <w:vertAlign w:val="superscript"/>
    </w:rPr>
  </w:style>
  <w:style w:type="paragraph" w:customStyle="1" w:styleId="AnnexHeading1">
    <w:name w:val="Annex Heading 1"/>
    <w:basedOn w:val="Heading1"/>
    <w:link w:val="AnnexHeading1Char"/>
    <w:rsid w:val="00994A7E"/>
    <w:pPr>
      <w:jc w:val="center"/>
    </w:pPr>
    <w:rPr>
      <w:szCs w:val="20"/>
    </w:rPr>
  </w:style>
  <w:style w:type="paragraph" w:styleId="ListParagraph">
    <w:name w:val="List Paragraph"/>
    <w:basedOn w:val="Normal"/>
    <w:uiPriority w:val="1"/>
    <w:qFormat/>
    <w:rsid w:val="00994A7E"/>
    <w:pPr>
      <w:numPr>
        <w:numId w:val="15"/>
      </w:numPr>
      <w:contextualSpacing/>
    </w:pPr>
  </w:style>
  <w:style w:type="character" w:customStyle="1" w:styleId="AnnexHeading1Char">
    <w:name w:val="Annex Heading 1 Char"/>
    <w:basedOn w:val="BodyText2Char"/>
    <w:link w:val="AnnexHeading1"/>
    <w:rsid w:val="00994A7E"/>
    <w:rPr>
      <w:rFonts w:ascii="Arial" w:eastAsia="Times New Roman" w:hAnsi="Arial" w:cs="Arial"/>
      <w:b/>
      <w:szCs w:val="20"/>
      <w:lang w:val="en-GB"/>
    </w:rPr>
  </w:style>
  <w:style w:type="paragraph" w:styleId="Title">
    <w:name w:val="Title"/>
    <w:basedOn w:val="Normal"/>
    <w:next w:val="Normal"/>
    <w:link w:val="TitleChar"/>
    <w:qFormat/>
    <w:rsid w:val="00994A7E"/>
    <w:pPr>
      <w:keepNext/>
      <w:spacing w:after="480"/>
      <w:jc w:val="center"/>
    </w:pPr>
    <w:rPr>
      <w:b/>
      <w:u w:val="single"/>
    </w:rPr>
  </w:style>
  <w:style w:type="character" w:customStyle="1" w:styleId="TitleChar">
    <w:name w:val="Title Char"/>
    <w:basedOn w:val="DefaultParagraphFont"/>
    <w:link w:val="Title"/>
    <w:rsid w:val="00994A7E"/>
    <w:rPr>
      <w:rFonts w:ascii="Arial" w:eastAsia="Times New Roman" w:hAnsi="Arial" w:cs="Arial"/>
      <w:b/>
      <w:u w:val="single"/>
      <w:lang w:val="en-GB"/>
    </w:rPr>
  </w:style>
  <w:style w:type="paragraph" w:customStyle="1" w:styleId="Footnote">
    <w:name w:val="Footnote"/>
    <w:basedOn w:val="FootnoteText"/>
    <w:link w:val="FootnoteChar"/>
    <w:rsid w:val="00994A7E"/>
    <w:rPr>
      <w:rFonts w:cs="Times New Roman"/>
    </w:rPr>
  </w:style>
  <w:style w:type="paragraph" w:customStyle="1" w:styleId="Paragraph">
    <w:name w:val="Paragraph"/>
    <w:basedOn w:val="Normal"/>
    <w:link w:val="ParagraphChar"/>
    <w:qFormat/>
    <w:rsid w:val="00994A7E"/>
    <w:pPr>
      <w:numPr>
        <w:ilvl w:val="1"/>
        <w:numId w:val="2"/>
      </w:numPr>
    </w:pPr>
  </w:style>
  <w:style w:type="character" w:customStyle="1" w:styleId="FootnoteChar">
    <w:name w:val="Footnote Char"/>
    <w:basedOn w:val="FootnoteTextChar"/>
    <w:link w:val="Footnote"/>
    <w:rsid w:val="00994A7E"/>
    <w:rPr>
      <w:rFonts w:ascii="Times New Roman" w:eastAsia="Times New Roman" w:hAnsi="Times New Roman" w:cs="Times New Roman"/>
      <w:sz w:val="20"/>
      <w:szCs w:val="20"/>
      <w:lang w:val="en-GB"/>
    </w:rPr>
  </w:style>
  <w:style w:type="paragraph" w:customStyle="1" w:styleId="Lettered">
    <w:name w:val="Lettered"/>
    <w:basedOn w:val="BodyText"/>
    <w:link w:val="LetteredChar"/>
    <w:qFormat/>
    <w:rsid w:val="00994A7E"/>
    <w:pPr>
      <w:numPr>
        <w:numId w:val="3"/>
      </w:numPr>
      <w:ind w:left="1434" w:hanging="357"/>
      <w:contextualSpacing/>
    </w:pPr>
  </w:style>
  <w:style w:type="character" w:customStyle="1" w:styleId="ParagraphChar">
    <w:name w:val="Paragraph Char"/>
    <w:basedOn w:val="DefaultParagraphFont"/>
    <w:link w:val="Paragraph"/>
    <w:rsid w:val="00994A7E"/>
    <w:rPr>
      <w:rFonts w:ascii="Arial" w:eastAsia="Times New Roman" w:hAnsi="Arial" w:cs="Arial"/>
      <w:lang w:val="en-GB"/>
    </w:rPr>
  </w:style>
  <w:style w:type="character" w:customStyle="1" w:styleId="LetteredChar">
    <w:name w:val="Lettered Char"/>
    <w:basedOn w:val="BodyTextChar"/>
    <w:link w:val="Lettered"/>
    <w:rsid w:val="00994A7E"/>
    <w:rPr>
      <w:rFonts w:ascii="Arial" w:eastAsia="Times New Roman" w:hAnsi="Arial" w:cs="Arial"/>
      <w:szCs w:val="20"/>
      <w:lang w:val="en-GB"/>
    </w:rPr>
  </w:style>
  <w:style w:type="table" w:customStyle="1" w:styleId="TableNormal1">
    <w:name w:val="Table Normal1"/>
    <w:uiPriority w:val="2"/>
    <w:semiHidden/>
    <w:unhideWhenUsed/>
    <w:qFormat/>
    <w:rsid w:val="00994A7E"/>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94A7E"/>
    <w:pPr>
      <w:widowControl w:val="0"/>
      <w:spacing w:after="0"/>
      <w:jc w:val="left"/>
    </w:pPr>
    <w:rPr>
      <w:rFonts w:asciiTheme="minorHAnsi" w:eastAsiaTheme="minorHAnsi" w:hAnsiTheme="minorHAnsi" w:cstheme="minorBidi"/>
      <w:lang w:val="en-US"/>
    </w:rPr>
  </w:style>
  <w:style w:type="paragraph" w:customStyle="1" w:styleId="Standard1">
    <w:name w:val="Standard1"/>
    <w:basedOn w:val="Normal"/>
    <w:next w:val="Normal"/>
    <w:rsid w:val="00994A7E"/>
    <w:pPr>
      <w:widowControl w:val="0"/>
      <w:autoSpaceDE w:val="0"/>
      <w:autoSpaceDN w:val="0"/>
      <w:adjustRightInd w:val="0"/>
      <w:spacing w:after="0"/>
      <w:jc w:val="left"/>
    </w:pPr>
    <w:rPr>
      <w:rFonts w:ascii="HPHBME+TimesNewRoman,Bold" w:hAnsi="HPHBME+TimesNewRoman,Bold" w:cs="HPHBME+TimesNewRoman,Bold"/>
      <w:sz w:val="24"/>
      <w:szCs w:val="24"/>
      <w:lang w:val="en-US"/>
    </w:rPr>
  </w:style>
  <w:style w:type="paragraph" w:customStyle="1" w:styleId="Autor">
    <w:name w:val="Autor"/>
    <w:basedOn w:val="Normal"/>
    <w:next w:val="Normal"/>
    <w:rsid w:val="00994A7E"/>
    <w:pPr>
      <w:widowControl w:val="0"/>
      <w:autoSpaceDE w:val="0"/>
      <w:autoSpaceDN w:val="0"/>
      <w:adjustRightInd w:val="0"/>
      <w:spacing w:before="960" w:after="160"/>
      <w:jc w:val="left"/>
    </w:pPr>
    <w:rPr>
      <w:rFonts w:ascii="HPHBME+TimesNewRoman,Bold" w:hAnsi="HPHBME+TimesNewRoman,Bold" w:cs="HPHBME+TimesNewRoman,Bold"/>
      <w:sz w:val="24"/>
      <w:szCs w:val="24"/>
      <w:lang w:val="en-US"/>
    </w:rPr>
  </w:style>
  <w:style w:type="paragraph" w:customStyle="1" w:styleId="Rechtsgrundlagenverzeichnis1">
    <w:name w:val="Rechtsgrundlagenverzeichnis1"/>
    <w:basedOn w:val="Default"/>
    <w:next w:val="Default"/>
    <w:rsid w:val="00994A7E"/>
    <w:pPr>
      <w:widowControl w:val="0"/>
      <w:spacing w:after="240"/>
    </w:pPr>
    <w:rPr>
      <w:rFonts w:ascii="HPHBME+TimesNewRoman,Bold" w:hAnsi="HPHBME+TimesNewRoman,Bold" w:cs="HPHBME+TimesNewRoman,Bold"/>
      <w:color w:val="auto"/>
    </w:rPr>
  </w:style>
  <w:style w:type="paragraph" w:styleId="TOC1">
    <w:name w:val="toc 1"/>
    <w:basedOn w:val="Normal"/>
    <w:rsid w:val="00994A7E"/>
    <w:pPr>
      <w:tabs>
        <w:tab w:val="left" w:pos="902"/>
        <w:tab w:val="right" w:pos="9543"/>
      </w:tabs>
      <w:overflowPunct w:val="0"/>
      <w:autoSpaceDE w:val="0"/>
      <w:autoSpaceDN w:val="0"/>
      <w:adjustRightInd w:val="0"/>
      <w:spacing w:after="120" w:line="360" w:lineRule="exact"/>
      <w:textAlignment w:val="baseline"/>
    </w:pPr>
    <w:rPr>
      <w:rFonts w:ascii="Times New Roman" w:hAnsi="Times New Roman" w:cs="Times New Roman"/>
      <w:sz w:val="24"/>
      <w:szCs w:val="20"/>
      <w:lang w:val="de-DE" w:eastAsia="de-DE"/>
    </w:rPr>
  </w:style>
  <w:style w:type="paragraph" w:customStyle="1" w:styleId="text">
    <w:name w:val="text"/>
    <w:basedOn w:val="Default"/>
    <w:next w:val="Default"/>
    <w:rsid w:val="00994A7E"/>
    <w:pPr>
      <w:widowControl w:val="0"/>
      <w:spacing w:after="240"/>
    </w:pPr>
    <w:rPr>
      <w:rFonts w:ascii="HPHBME+TimesNewRoman,Bold" w:hAnsi="HPHBME+TimesNewRoman,Bold" w:cs="HPHBME+TimesNewRoman,Bold"/>
      <w:color w:val="auto"/>
    </w:rPr>
  </w:style>
  <w:style w:type="paragraph" w:styleId="TOC2">
    <w:name w:val="toc 2"/>
    <w:basedOn w:val="Normal"/>
    <w:next w:val="Normal"/>
    <w:autoRedefine/>
    <w:rsid w:val="00994A7E"/>
    <w:pPr>
      <w:tabs>
        <w:tab w:val="left" w:pos="0"/>
        <w:tab w:val="right" w:leader="hyphen" w:pos="9540"/>
      </w:tabs>
      <w:spacing w:before="120" w:after="120"/>
      <w:ind w:left="360" w:hanging="360"/>
      <w:jc w:val="left"/>
    </w:pPr>
    <w:rPr>
      <w:rFonts w:ascii="Times New Roman" w:hAnsi="Times New Roman" w:cs="Times New Roman"/>
      <w:noProof/>
      <w:sz w:val="24"/>
      <w:szCs w:val="24"/>
      <w:lang w:eastAsia="fr-FR"/>
    </w:rPr>
  </w:style>
  <w:style w:type="paragraph" w:customStyle="1" w:styleId="WW-Default">
    <w:name w:val="WW-Default"/>
    <w:rsid w:val="00994A7E"/>
    <w:pPr>
      <w:widowControl w:val="0"/>
      <w:suppressAutoHyphens/>
      <w:autoSpaceDE w:val="0"/>
      <w:spacing w:after="0" w:line="240" w:lineRule="auto"/>
    </w:pPr>
    <w:rPr>
      <w:rFonts w:ascii="HPHBME+TimesNewRoman" w:eastAsia="Arial" w:hAnsi="HPHBME+TimesNewRoman" w:cs="HPHBME+TimesNewRoman"/>
      <w:color w:val="000000"/>
      <w:sz w:val="24"/>
      <w:szCs w:val="24"/>
      <w:lang w:eastAsia="ar-SA"/>
    </w:rPr>
  </w:style>
  <w:style w:type="paragraph" w:styleId="BodyText3">
    <w:name w:val="Body Text 3"/>
    <w:basedOn w:val="Normal"/>
    <w:link w:val="BodyText3Char"/>
    <w:rsid w:val="00994A7E"/>
    <w:pPr>
      <w:spacing w:after="120"/>
      <w:jc w:val="left"/>
    </w:pPr>
    <w:rPr>
      <w:rFonts w:ascii="Times New Roman" w:hAnsi="Times New Roman" w:cs="Times New Roman"/>
      <w:sz w:val="16"/>
      <w:szCs w:val="16"/>
      <w:lang w:eastAsia="fr-FR"/>
    </w:rPr>
  </w:style>
  <w:style w:type="character" w:customStyle="1" w:styleId="BodyText3Char">
    <w:name w:val="Body Text 3 Char"/>
    <w:basedOn w:val="DefaultParagraphFont"/>
    <w:link w:val="BodyText3"/>
    <w:rsid w:val="00994A7E"/>
    <w:rPr>
      <w:rFonts w:ascii="Times New Roman" w:eastAsia="Times New Roman" w:hAnsi="Times New Roman" w:cs="Times New Roman"/>
      <w:sz w:val="16"/>
      <w:szCs w:val="16"/>
      <w:lang w:val="en-GB" w:eastAsia="fr-FR"/>
    </w:rPr>
  </w:style>
  <w:style w:type="paragraph" w:styleId="Revision">
    <w:name w:val="Revision"/>
    <w:hidden/>
    <w:uiPriority w:val="99"/>
    <w:semiHidden/>
    <w:rsid w:val="00994A7E"/>
    <w:pPr>
      <w:spacing w:after="0" w:line="240" w:lineRule="auto"/>
    </w:pPr>
  </w:style>
  <w:style w:type="character" w:customStyle="1" w:styleId="Refdecomentario">
    <w:name w:val="Ref. de comentario"/>
    <w:basedOn w:val="DefaultParagraphFont"/>
    <w:rsid w:val="00785921"/>
    <w:rPr>
      <w:sz w:val="16"/>
      <w:szCs w:val="16"/>
    </w:rPr>
  </w:style>
  <w:style w:type="character" w:customStyle="1" w:styleId="Fuentedeprrafopredeter">
    <w:name w:val="Fuente de párrafo predeter."/>
    <w:rsid w:val="00785921"/>
  </w:style>
  <w:style w:type="paragraph" w:customStyle="1" w:styleId="Textocomentario">
    <w:name w:val="Texto comentario"/>
    <w:basedOn w:val="Normal"/>
    <w:rsid w:val="00785921"/>
    <w:pPr>
      <w:widowControl w:val="0"/>
      <w:suppressAutoHyphens/>
      <w:autoSpaceDN w:val="0"/>
      <w:spacing w:after="0"/>
      <w:jc w:val="left"/>
      <w:textAlignment w:val="baseline"/>
    </w:pPr>
    <w:rPr>
      <w:rFonts w:ascii="Times New Roman" w:eastAsia="Andale Sans UI" w:hAnsi="Times New Roman" w:cs="Tahoma"/>
      <w:kern w:val="3"/>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981688A5031B47858AAEE3B16E412C" ma:contentTypeVersion="11" ma:contentTypeDescription="Create a new document." ma:contentTypeScope="" ma:versionID="c2ac504785bd7b4bfefc368ac5e9d824">
  <xsd:schema xmlns:xsd="http://www.w3.org/2001/XMLSchema" xmlns:xs="http://www.w3.org/2001/XMLSchema" xmlns:p="http://schemas.microsoft.com/office/2006/metadata/properties" xmlns:ns2="fca42393-3145-44c5-812f-9c222b3e509a" targetNamespace="http://schemas.microsoft.com/office/2006/metadata/properties" ma:root="true" ma:fieldsID="71f95107b20c2a158224366322fc9313" ns2:_="">
    <xsd:import namespace="fca42393-3145-44c5-812f-9c222b3e50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42393-3145-44c5-812f-9c222b3e5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4A5B79-9C9B-4300-BC28-0DE20E8F41FC}"/>
</file>

<file path=customXml/itemProps2.xml><?xml version="1.0" encoding="utf-8"?>
<ds:datastoreItem xmlns:ds="http://schemas.openxmlformats.org/officeDocument/2006/customXml" ds:itemID="{CF8E28B2-694B-418E-B466-E0563297E5D6}"/>
</file>

<file path=customXml/itemProps3.xml><?xml version="1.0" encoding="utf-8"?>
<ds:datastoreItem xmlns:ds="http://schemas.openxmlformats.org/officeDocument/2006/customXml" ds:itemID="{02945470-2300-4EFA-96D5-0500136C64AF}"/>
</file>

<file path=docProps/app.xml><?xml version="1.0" encoding="utf-8"?>
<Properties xmlns="http://schemas.openxmlformats.org/officeDocument/2006/extended-properties" xmlns:vt="http://schemas.openxmlformats.org/officeDocument/2006/docPropsVTypes">
  <Template>Normal.dotm</Template>
  <TotalTime>0</TotalTime>
  <Pages>1</Pages>
  <Words>6439</Words>
  <Characters>36706</Characters>
  <Application>Microsoft Office Word</Application>
  <DocSecurity>0</DocSecurity>
  <Lines>305</Lines>
  <Paragraphs>86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ERM</Company>
  <LinksUpToDate>false</LinksUpToDate>
  <CharactersWithSpaces>43059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Cupella</dc:creator>
  <cp:keywords/>
  <dc:description/>
  <cp:lastModifiedBy>Ruta Tautvydaite</cp:lastModifiedBy>
  <cp:revision>1</cp:revision>
  <dcterms:created xsi:type="dcterms:W3CDTF">2021-08-23T15:04:00Z</dcterms:created>
  <dcterms:modified xsi:type="dcterms:W3CDTF">2021-08-23T15:04:00Z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0x01010028981688A5031B47858AAEE3B16E412C</vt:lpwstr>
  </property>
</Properties>
</file>